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9BAFA" w14:textId="77777777" w:rsidR="00374995" w:rsidRPr="00D74068" w:rsidRDefault="00374995" w:rsidP="00374995">
      <w:pPr>
        <w:jc w:val="center"/>
        <w:rPr>
          <w:rFonts w:ascii="Arial Narrow" w:hAnsi="Arial Narrow"/>
          <w:b/>
          <w:bCs/>
        </w:rPr>
      </w:pPr>
    </w:p>
    <w:p w14:paraId="17073B2D" w14:textId="77777777" w:rsidR="009F3814" w:rsidRDefault="009F3814" w:rsidP="009F3814">
      <w:pPr>
        <w:rPr>
          <w:rFonts w:ascii="Arial" w:hAnsi="Arial"/>
          <w:sz w:val="20"/>
        </w:rPr>
      </w:pPr>
      <w:r>
        <w:rPr>
          <w:rFonts w:ascii="Arial" w:hAnsi="Arial"/>
          <w:sz w:val="20"/>
        </w:rPr>
        <w:t>No.0457 - 2023: Fifth Session, Sixth Legislature</w:t>
      </w:r>
    </w:p>
    <w:p w14:paraId="066969FE" w14:textId="77777777" w:rsidR="009F3814" w:rsidRDefault="009F3814" w:rsidP="009F3814">
      <w:pPr>
        <w:rPr>
          <w:rFonts w:ascii="Arial" w:hAnsi="Arial"/>
          <w:sz w:val="20"/>
        </w:rPr>
      </w:pPr>
    </w:p>
    <w:p w14:paraId="435346F4" w14:textId="44AF69B6" w:rsidR="009F3814" w:rsidRPr="009F3814" w:rsidRDefault="009F3814" w:rsidP="009F3814">
      <w:pPr>
        <w:jc w:val="center"/>
        <w:rPr>
          <w:rFonts w:ascii="Times New Roman" w:hAnsi="Times New Roman"/>
          <w:sz w:val="24"/>
        </w:rPr>
      </w:pPr>
      <w:r w:rsidRPr="009F3814">
        <w:rPr>
          <w:b/>
          <w:sz w:val="24"/>
        </w:rPr>
        <w:t>GAUTENG PROVINCIAL LEGISLATURE</w:t>
      </w:r>
    </w:p>
    <w:p w14:paraId="648DE4F4" w14:textId="18773586" w:rsidR="009F3814" w:rsidRPr="009F3814" w:rsidRDefault="009F3814" w:rsidP="009F3814">
      <w:pPr>
        <w:jc w:val="center"/>
        <w:rPr>
          <w:b/>
          <w:spacing w:val="-20"/>
          <w:sz w:val="24"/>
        </w:rPr>
      </w:pPr>
      <w:r w:rsidRPr="009F3814">
        <w:rPr>
          <w:b/>
          <w:spacing w:val="-20"/>
          <w:sz w:val="24"/>
        </w:rPr>
        <w:t xml:space="preserve">======================== </w:t>
      </w:r>
    </w:p>
    <w:p w14:paraId="3295600C" w14:textId="77777777" w:rsidR="009F3814" w:rsidRPr="009F3814" w:rsidRDefault="009F3814" w:rsidP="009F3814">
      <w:pPr>
        <w:jc w:val="center"/>
        <w:rPr>
          <w:b/>
          <w:sz w:val="24"/>
        </w:rPr>
      </w:pPr>
      <w:r w:rsidRPr="009F3814">
        <w:rPr>
          <w:b/>
          <w:sz w:val="24"/>
        </w:rPr>
        <w:t>ANNOUNCEMENTS,</w:t>
      </w:r>
    </w:p>
    <w:p w14:paraId="27928C6B" w14:textId="77777777" w:rsidR="009F3814" w:rsidRPr="009F3814" w:rsidRDefault="009F3814" w:rsidP="009F3814">
      <w:pPr>
        <w:jc w:val="center"/>
        <w:rPr>
          <w:b/>
          <w:sz w:val="24"/>
        </w:rPr>
      </w:pPr>
      <w:r w:rsidRPr="009F3814">
        <w:rPr>
          <w:b/>
          <w:sz w:val="24"/>
        </w:rPr>
        <w:t>TABLINGS AND</w:t>
      </w:r>
    </w:p>
    <w:p w14:paraId="74D4E6D7" w14:textId="304D1751" w:rsidR="009F3814" w:rsidRPr="009F3814" w:rsidRDefault="009F3814" w:rsidP="009F3814">
      <w:pPr>
        <w:jc w:val="center"/>
        <w:rPr>
          <w:b/>
          <w:sz w:val="24"/>
        </w:rPr>
      </w:pPr>
      <w:r w:rsidRPr="009F3814">
        <w:rPr>
          <w:b/>
          <w:sz w:val="24"/>
        </w:rPr>
        <w:t>COMMITTEE REPORTS</w:t>
      </w:r>
    </w:p>
    <w:p w14:paraId="30F8370A" w14:textId="3FFE3835" w:rsidR="009F3814" w:rsidRPr="009F3814" w:rsidRDefault="009F3814" w:rsidP="009F3814">
      <w:pPr>
        <w:jc w:val="center"/>
        <w:rPr>
          <w:b/>
          <w:spacing w:val="-20"/>
          <w:sz w:val="24"/>
        </w:rPr>
      </w:pPr>
      <w:r w:rsidRPr="009F3814">
        <w:rPr>
          <w:b/>
          <w:spacing w:val="-20"/>
          <w:sz w:val="24"/>
        </w:rPr>
        <w:t>========================</w:t>
      </w:r>
    </w:p>
    <w:p w14:paraId="33E68B17" w14:textId="5224DFB4" w:rsidR="009F3814" w:rsidRPr="009F3814" w:rsidRDefault="009F3814" w:rsidP="009F3814">
      <w:pPr>
        <w:jc w:val="center"/>
        <w:rPr>
          <w:rFonts w:ascii="Arial" w:hAnsi="Arial"/>
          <w:sz w:val="24"/>
        </w:rPr>
      </w:pPr>
      <w:r w:rsidRPr="009F3814">
        <w:rPr>
          <w:rFonts w:ascii="Arial" w:hAnsi="Arial"/>
          <w:sz w:val="24"/>
        </w:rPr>
        <w:t>Tuesday, 05 December 202</w:t>
      </w:r>
      <w:r w:rsidRPr="009F3814">
        <w:rPr>
          <w:rFonts w:ascii="Arial" w:hAnsi="Arial"/>
          <w:sz w:val="24"/>
        </w:rPr>
        <w:t>3</w:t>
      </w:r>
    </w:p>
    <w:p w14:paraId="2E72B205" w14:textId="77777777" w:rsidR="009F3814" w:rsidRPr="009F3814" w:rsidRDefault="009F3814" w:rsidP="009F3814">
      <w:pPr>
        <w:pStyle w:val="Heading1"/>
        <w:tabs>
          <w:tab w:val="center" w:pos="4489"/>
        </w:tabs>
        <w:rPr>
          <w:rFonts w:cs="Arial"/>
          <w:color w:val="auto"/>
          <w:sz w:val="24"/>
          <w:szCs w:val="24"/>
        </w:rPr>
      </w:pPr>
      <w:r w:rsidRPr="009F3814">
        <w:rPr>
          <w:rFonts w:cs="Arial"/>
          <w:color w:val="auto"/>
          <w:sz w:val="24"/>
          <w:szCs w:val="24"/>
        </w:rPr>
        <w:t>ANNOUNCEMENTS</w:t>
      </w:r>
    </w:p>
    <w:p w14:paraId="6B36FF72" w14:textId="7CAAD019" w:rsidR="009F3814" w:rsidRPr="009F3814" w:rsidRDefault="009F3814" w:rsidP="009F3814">
      <w:pPr>
        <w:ind w:right="-694" w:firstLine="720"/>
        <w:rPr>
          <w:rFonts w:ascii="Arial" w:hAnsi="Arial" w:cs="Arial"/>
          <w:sz w:val="24"/>
          <w:szCs w:val="20"/>
        </w:rPr>
      </w:pPr>
      <w:r w:rsidRPr="009F3814">
        <w:rPr>
          <w:rFonts w:ascii="Arial" w:hAnsi="Arial" w:cs="Arial"/>
          <w:sz w:val="24"/>
          <w:szCs w:val="20"/>
        </w:rPr>
        <w:t>none</w:t>
      </w:r>
    </w:p>
    <w:p w14:paraId="37F2B000" w14:textId="7AE34A6A" w:rsidR="009F3814" w:rsidRPr="009F3814" w:rsidRDefault="009F3814" w:rsidP="009F3814">
      <w:pPr>
        <w:pStyle w:val="Heading1"/>
        <w:tabs>
          <w:tab w:val="center" w:pos="4489"/>
        </w:tabs>
        <w:rPr>
          <w:color w:val="auto"/>
          <w:sz w:val="24"/>
        </w:rPr>
      </w:pPr>
      <w:r w:rsidRPr="009F3814">
        <w:rPr>
          <w:color w:val="auto"/>
          <w:sz w:val="24"/>
        </w:rPr>
        <w:t>TABLING</w:t>
      </w:r>
      <w:r w:rsidRPr="009F3814">
        <w:rPr>
          <w:color w:val="auto"/>
          <w:sz w:val="24"/>
        </w:rPr>
        <w:t>S</w:t>
      </w:r>
    </w:p>
    <w:p w14:paraId="7456C5F1" w14:textId="77777777" w:rsidR="009F3814" w:rsidRPr="009F3814" w:rsidRDefault="009F3814" w:rsidP="009F3814">
      <w:pPr>
        <w:ind w:firstLine="720"/>
        <w:rPr>
          <w:rFonts w:ascii="Arial" w:hAnsi="Arial" w:cs="Arial"/>
          <w:sz w:val="24"/>
          <w:szCs w:val="20"/>
        </w:rPr>
      </w:pPr>
      <w:r w:rsidRPr="009F3814">
        <w:rPr>
          <w:rFonts w:ascii="Arial" w:hAnsi="Arial" w:cs="Arial"/>
          <w:bCs/>
          <w:sz w:val="24"/>
          <w:szCs w:val="20"/>
        </w:rPr>
        <w:t>none</w:t>
      </w:r>
    </w:p>
    <w:p w14:paraId="25183F85" w14:textId="77777777" w:rsidR="009F3814" w:rsidRPr="009F3814" w:rsidRDefault="009F3814" w:rsidP="009F3814">
      <w:pPr>
        <w:rPr>
          <w:sz w:val="24"/>
          <w:lang w:val="en-US"/>
        </w:rPr>
      </w:pPr>
    </w:p>
    <w:p w14:paraId="2E499A00" w14:textId="77777777" w:rsidR="009F3814" w:rsidRPr="009F3814" w:rsidRDefault="009F3814" w:rsidP="009F3814">
      <w:pPr>
        <w:pStyle w:val="Heading7"/>
        <w:widowControl w:val="0"/>
        <w:rPr>
          <w:rFonts w:ascii="Arial" w:hAnsi="Arial" w:cs="Arial"/>
          <w:b/>
          <w:bCs/>
          <w:i w:val="0"/>
          <w:iCs w:val="0"/>
          <w:snapToGrid w:val="0"/>
          <w:color w:val="auto"/>
          <w:sz w:val="24"/>
        </w:rPr>
      </w:pPr>
      <w:r w:rsidRPr="009F3814">
        <w:rPr>
          <w:rFonts w:ascii="Arial" w:hAnsi="Arial" w:cs="Arial"/>
          <w:b/>
          <w:bCs/>
          <w:i w:val="0"/>
          <w:iCs w:val="0"/>
          <w:snapToGrid w:val="0"/>
          <w:color w:val="auto"/>
          <w:sz w:val="24"/>
        </w:rPr>
        <w:t>COMMITTEE REPORTS</w:t>
      </w:r>
    </w:p>
    <w:p w14:paraId="58A5ACD1" w14:textId="77777777" w:rsidR="009F3814" w:rsidRPr="009F3814" w:rsidRDefault="009F3814" w:rsidP="009F3814">
      <w:pPr>
        <w:ind w:left="720" w:hanging="720"/>
        <w:rPr>
          <w:rFonts w:ascii="Arial" w:hAnsi="Arial" w:cs="Arial"/>
          <w:b/>
          <w:bCs/>
          <w:sz w:val="24"/>
          <w:szCs w:val="20"/>
        </w:rPr>
      </w:pPr>
      <w:r w:rsidRPr="009F3814">
        <w:rPr>
          <w:rFonts w:ascii="Arial" w:hAnsi="Arial" w:cs="Arial"/>
          <w:b/>
          <w:sz w:val="24"/>
          <w:szCs w:val="20"/>
        </w:rPr>
        <w:t>1.</w:t>
      </w:r>
      <w:r w:rsidRPr="009F3814">
        <w:rPr>
          <w:rFonts w:ascii="Arial" w:hAnsi="Arial" w:cs="Arial"/>
          <w:b/>
          <w:sz w:val="24"/>
          <w:szCs w:val="20"/>
        </w:rPr>
        <w:tab/>
      </w:r>
      <w:r w:rsidRPr="009F3814">
        <w:rPr>
          <w:rFonts w:ascii="Arial" w:hAnsi="Arial" w:cs="Arial"/>
          <w:b/>
          <w:bCs/>
          <w:sz w:val="24"/>
          <w:szCs w:val="20"/>
        </w:rPr>
        <w:t xml:space="preserve">The Acting-Chairperson of the Co-operative Governance, Traditional Affairs, Research, Development and e-Government Portfolio Committee, Hon. B P Mncube, tabled the Committee’s Oversight Report on </w:t>
      </w:r>
      <w:bookmarkStart w:id="0" w:name="_Hlk56514785"/>
      <w:r w:rsidRPr="009F3814">
        <w:rPr>
          <w:rFonts w:ascii="Arial" w:hAnsi="Arial" w:cs="Arial"/>
          <w:b/>
          <w:bCs/>
          <w:sz w:val="24"/>
          <w:szCs w:val="20"/>
          <w:lang w:val="en-US"/>
        </w:rPr>
        <w:t xml:space="preserve">the </w:t>
      </w:r>
      <w:bookmarkEnd w:id="0"/>
      <w:r w:rsidRPr="009F3814">
        <w:rPr>
          <w:rFonts w:ascii="Arial" w:hAnsi="Arial" w:cs="Arial"/>
          <w:b/>
          <w:bCs/>
          <w:sz w:val="24"/>
          <w:szCs w:val="20"/>
        </w:rPr>
        <w:t>Second Quarterly Report of the Department of Co-operative Government and Traditional Affairs (CoGTA) for the 2023/2024 financial year, as attached:</w:t>
      </w:r>
    </w:p>
    <w:p w14:paraId="66E3BE51" w14:textId="77777777" w:rsidR="009F3814" w:rsidRDefault="009F3814" w:rsidP="009F3814">
      <w:pPr>
        <w:ind w:right="-694"/>
        <w:rPr>
          <w:rFonts w:ascii="Arial" w:hAnsi="Arial" w:cs="Arial"/>
          <w:b/>
          <w:bCs/>
        </w:rPr>
      </w:pP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35D1B1C8" w:rsidR="00EF7123" w:rsidRPr="00615AF4" w:rsidRDefault="004E2C21" w:rsidP="00AF0E97">
      <w:pPr>
        <w:jc w:val="center"/>
        <w:rPr>
          <w:rFonts w:ascii="Arial Narrow" w:hAnsi="Arial Narrow"/>
          <w:b/>
          <w:bCs/>
          <w:sz w:val="32"/>
          <w:szCs w:val="32"/>
        </w:rPr>
      </w:pPr>
      <w:r w:rsidRPr="00D74068">
        <w:rPr>
          <w:rFonts w:ascii="Arial Narrow" w:hAnsi="Arial Narrow"/>
          <w:b/>
          <w:bCs/>
          <w:sz w:val="32"/>
          <w:szCs w:val="32"/>
        </w:rPr>
        <w:t xml:space="preserve">Portfolio </w:t>
      </w:r>
      <w:r w:rsidR="00EF7123" w:rsidRPr="00D74068">
        <w:rPr>
          <w:rFonts w:ascii="Arial Narrow" w:hAnsi="Arial Narrow"/>
          <w:b/>
          <w:bCs/>
          <w:sz w:val="32"/>
          <w:szCs w:val="32"/>
        </w:rPr>
        <w:t xml:space="preserve">Committee on </w:t>
      </w:r>
      <w:r w:rsidR="0093042D">
        <w:rPr>
          <w:rFonts w:ascii="Arial Narrow" w:hAnsi="Arial Narrow"/>
          <w:b/>
          <w:bCs/>
          <w:sz w:val="32"/>
          <w:szCs w:val="32"/>
        </w:rPr>
        <w:t xml:space="preserve">CoGTA and </w:t>
      </w:r>
      <w:r w:rsidR="00630D76">
        <w:rPr>
          <w:rFonts w:ascii="Arial Narrow" w:hAnsi="Arial Narrow"/>
          <w:b/>
          <w:bCs/>
          <w:sz w:val="32"/>
          <w:szCs w:val="32"/>
        </w:rPr>
        <w:t>E-Gov</w:t>
      </w:r>
      <w:r w:rsidR="0093042D">
        <w:rPr>
          <w:rFonts w:ascii="Arial Narrow" w:hAnsi="Arial Narrow"/>
          <w:b/>
          <w:bCs/>
          <w:sz w:val="32"/>
          <w:szCs w:val="32"/>
        </w:rPr>
        <w:t xml:space="preserve"> </w:t>
      </w:r>
      <w:r w:rsidR="0028558C">
        <w:rPr>
          <w:rFonts w:ascii="Arial Narrow" w:hAnsi="Arial Narrow"/>
          <w:b/>
          <w:bCs/>
          <w:sz w:val="32"/>
          <w:szCs w:val="32"/>
        </w:rPr>
        <w:t xml:space="preserve">ADOPTED </w:t>
      </w:r>
      <w:r w:rsidR="006310EC">
        <w:rPr>
          <w:rFonts w:ascii="Arial Narrow" w:hAnsi="Arial Narrow"/>
          <w:b/>
          <w:bCs/>
          <w:sz w:val="32"/>
          <w:szCs w:val="32"/>
        </w:rPr>
        <w:t>Oversight</w:t>
      </w:r>
      <w:r w:rsidR="00EF7123" w:rsidRPr="00D74068">
        <w:rPr>
          <w:rFonts w:ascii="Arial Narrow" w:hAnsi="Arial Narrow"/>
          <w:b/>
          <w:bCs/>
          <w:sz w:val="32"/>
          <w:szCs w:val="32"/>
        </w:rPr>
        <w:t xml:space="preserve"> Report on the</w:t>
      </w:r>
      <w:r w:rsidR="000F7DFB">
        <w:rPr>
          <w:rFonts w:ascii="Arial Narrow" w:hAnsi="Arial Narrow"/>
          <w:b/>
          <w:bCs/>
          <w:sz w:val="32"/>
          <w:szCs w:val="32"/>
        </w:rPr>
        <w:t xml:space="preserve"> </w:t>
      </w:r>
      <w:r w:rsidR="00451555">
        <w:rPr>
          <w:rFonts w:ascii="Arial Narrow" w:hAnsi="Arial Narrow"/>
          <w:b/>
          <w:bCs/>
          <w:sz w:val="32"/>
          <w:szCs w:val="32"/>
        </w:rPr>
        <w:t>2</w:t>
      </w:r>
      <w:r w:rsidR="00451555" w:rsidRPr="00451555">
        <w:rPr>
          <w:rFonts w:ascii="Arial Narrow" w:hAnsi="Arial Narrow"/>
          <w:b/>
          <w:bCs/>
          <w:sz w:val="32"/>
          <w:szCs w:val="32"/>
          <w:vertAlign w:val="superscript"/>
        </w:rPr>
        <w:t>nd</w:t>
      </w:r>
      <w:r w:rsidR="00451555">
        <w:rPr>
          <w:rFonts w:ascii="Arial Narrow" w:hAnsi="Arial Narrow"/>
          <w:b/>
          <w:bCs/>
          <w:sz w:val="32"/>
          <w:szCs w:val="32"/>
        </w:rPr>
        <w:t xml:space="preserve"> </w:t>
      </w:r>
      <w:r w:rsidR="007F700E">
        <w:rPr>
          <w:rFonts w:ascii="Arial Narrow" w:hAnsi="Arial Narrow"/>
          <w:b/>
          <w:bCs/>
          <w:sz w:val="32"/>
          <w:szCs w:val="32"/>
        </w:rPr>
        <w:t xml:space="preserve"> </w:t>
      </w:r>
      <w:r w:rsidR="0093042D">
        <w:rPr>
          <w:rFonts w:ascii="Arial Narrow" w:hAnsi="Arial Narrow"/>
          <w:b/>
          <w:bCs/>
          <w:sz w:val="32"/>
          <w:szCs w:val="32"/>
        </w:rPr>
        <w:t xml:space="preserve"> </w:t>
      </w:r>
      <w:r w:rsidR="00EF7123" w:rsidRPr="00D74068">
        <w:rPr>
          <w:rFonts w:ascii="Arial Narrow" w:hAnsi="Arial Narrow"/>
          <w:b/>
          <w:bCs/>
          <w:sz w:val="32"/>
          <w:szCs w:val="32"/>
        </w:rPr>
        <w:t xml:space="preserve">Quarterly Report of </w:t>
      </w:r>
      <w:r w:rsidR="00EF7123" w:rsidRPr="00FC4862">
        <w:rPr>
          <w:rFonts w:ascii="Arial Narrow" w:hAnsi="Arial Narrow"/>
          <w:b/>
          <w:bCs/>
          <w:sz w:val="32"/>
          <w:szCs w:val="32"/>
        </w:rPr>
        <w:t xml:space="preserve">the </w:t>
      </w:r>
      <w:r w:rsidR="000F7DFB" w:rsidRPr="00FC4862">
        <w:rPr>
          <w:rFonts w:ascii="Arial Narrow" w:hAnsi="Arial Narrow"/>
          <w:b/>
          <w:bCs/>
          <w:sz w:val="32"/>
          <w:szCs w:val="32"/>
        </w:rPr>
        <w:t xml:space="preserve">Gauteng Department of </w:t>
      </w:r>
      <w:r w:rsidR="009041C3">
        <w:rPr>
          <w:rFonts w:ascii="Arial Narrow" w:hAnsi="Arial Narrow"/>
          <w:b/>
          <w:bCs/>
          <w:sz w:val="32"/>
          <w:szCs w:val="32"/>
        </w:rPr>
        <w:t>CoGTA</w:t>
      </w:r>
      <w:r w:rsidR="003C42A4" w:rsidRPr="00FC4862">
        <w:rPr>
          <w:rFonts w:ascii="Arial Narrow" w:hAnsi="Arial Narrow"/>
          <w:b/>
          <w:bCs/>
          <w:sz w:val="32"/>
          <w:szCs w:val="32"/>
        </w:rPr>
        <w:t xml:space="preserve"> </w:t>
      </w:r>
      <w:r w:rsidR="00EF7123" w:rsidRPr="00FC4862">
        <w:rPr>
          <w:rFonts w:ascii="Arial Narrow" w:hAnsi="Arial Narrow"/>
          <w:b/>
          <w:bCs/>
          <w:sz w:val="32"/>
          <w:szCs w:val="32"/>
        </w:rPr>
        <w:t xml:space="preserve">for the </w:t>
      </w:r>
      <w:r w:rsidR="00C6718D" w:rsidRPr="00FC4862">
        <w:rPr>
          <w:rFonts w:ascii="Arial Narrow" w:hAnsi="Arial Narrow"/>
          <w:b/>
          <w:bCs/>
          <w:sz w:val="32"/>
          <w:szCs w:val="32"/>
        </w:rPr>
        <w:t>20</w:t>
      </w:r>
      <w:r w:rsidR="000F7DFB" w:rsidRPr="00615AF4">
        <w:rPr>
          <w:rFonts w:ascii="Arial Narrow" w:hAnsi="Arial Narrow"/>
          <w:b/>
          <w:bCs/>
          <w:sz w:val="32"/>
          <w:szCs w:val="32"/>
        </w:rPr>
        <w:t>2</w:t>
      </w:r>
      <w:r w:rsidR="005426CD">
        <w:rPr>
          <w:rFonts w:ascii="Arial Narrow" w:hAnsi="Arial Narrow"/>
          <w:b/>
          <w:bCs/>
          <w:sz w:val="32"/>
          <w:szCs w:val="32"/>
        </w:rPr>
        <w:t>3</w:t>
      </w:r>
      <w:r w:rsidR="000F7DFB" w:rsidRPr="00615AF4">
        <w:rPr>
          <w:rFonts w:ascii="Arial Narrow" w:hAnsi="Arial Narrow"/>
          <w:b/>
          <w:bCs/>
          <w:sz w:val="32"/>
          <w:szCs w:val="32"/>
        </w:rPr>
        <w:t>/</w:t>
      </w:r>
      <w:r w:rsidR="00C6718D" w:rsidRPr="00615AF4">
        <w:rPr>
          <w:rFonts w:ascii="Arial Narrow" w:hAnsi="Arial Narrow"/>
          <w:b/>
          <w:bCs/>
          <w:sz w:val="32"/>
          <w:szCs w:val="32"/>
        </w:rPr>
        <w:t>2</w:t>
      </w:r>
      <w:r w:rsidR="005426CD">
        <w:rPr>
          <w:rFonts w:ascii="Arial Narrow" w:hAnsi="Arial Narrow"/>
          <w:b/>
          <w:bCs/>
          <w:sz w:val="32"/>
          <w:szCs w:val="32"/>
        </w:rPr>
        <w:t>4</w:t>
      </w:r>
      <w:r w:rsidR="00EF7123" w:rsidRPr="00615AF4">
        <w:rPr>
          <w:rFonts w:ascii="Arial Narrow" w:hAnsi="Arial Narrow"/>
          <w:b/>
          <w:bCs/>
          <w:sz w:val="32"/>
          <w:szCs w:val="32"/>
        </w:rPr>
        <w:t xml:space="preserve"> </w:t>
      </w:r>
      <w:r w:rsidRPr="00615AF4">
        <w:rPr>
          <w:rFonts w:ascii="Arial Narrow" w:hAnsi="Arial Narrow"/>
          <w:b/>
          <w:bCs/>
          <w:sz w:val="32"/>
          <w:szCs w:val="32"/>
        </w:rPr>
        <w:t>F</w:t>
      </w:r>
      <w:r w:rsidR="00EF7123" w:rsidRPr="00615AF4">
        <w:rPr>
          <w:rFonts w:ascii="Arial Narrow" w:hAnsi="Arial Narrow"/>
          <w:b/>
          <w:bCs/>
          <w:sz w:val="32"/>
          <w:szCs w:val="32"/>
        </w:rPr>
        <w:t xml:space="preserve">inancial </w:t>
      </w:r>
      <w:r w:rsidRPr="00615AF4">
        <w:rPr>
          <w:rFonts w:ascii="Arial Narrow" w:hAnsi="Arial Narrow"/>
          <w:b/>
          <w:bCs/>
          <w:sz w:val="32"/>
          <w:szCs w:val="32"/>
        </w:rPr>
        <w:t>Y</w:t>
      </w:r>
      <w:r w:rsidR="00EF7123" w:rsidRPr="00615AF4">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75"/>
        <w:gridCol w:w="5134"/>
        <w:gridCol w:w="2241"/>
        <w:gridCol w:w="4520"/>
      </w:tblGrid>
      <w:tr w:rsidR="0093042D"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93042D"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1EB9A4E8" w:rsidR="005116D2" w:rsidRPr="00D74068" w:rsidRDefault="0093042D" w:rsidP="00AF0E97">
            <w:pPr>
              <w:rPr>
                <w:rFonts w:ascii="Arial Narrow" w:eastAsiaTheme="majorEastAsia" w:hAnsi="Arial Narrow"/>
                <w:b/>
                <w:bCs/>
                <w:lang w:val="en-GB"/>
              </w:rPr>
            </w:pPr>
            <w:r>
              <w:rPr>
                <w:rFonts w:ascii="Arial Narrow" w:eastAsiaTheme="majorEastAsia" w:hAnsi="Arial Narrow"/>
                <w:b/>
                <w:bCs/>
                <w:lang w:val="en-GB"/>
              </w:rPr>
              <w:t xml:space="preserve">CoGTA and </w:t>
            </w:r>
            <w:r w:rsidR="00630D76">
              <w:rPr>
                <w:rFonts w:ascii="Arial Narrow" w:eastAsiaTheme="majorEastAsia" w:hAnsi="Arial Narrow"/>
                <w:b/>
                <w:bCs/>
                <w:lang w:val="en-GB"/>
              </w:rPr>
              <w:t>E-</w:t>
            </w:r>
            <w:r w:rsidR="006620B5">
              <w:rPr>
                <w:rFonts w:ascii="Arial Narrow" w:eastAsiaTheme="majorEastAsia" w:hAnsi="Arial Narrow"/>
                <w:b/>
                <w:bCs/>
                <w:lang w:val="en-GB"/>
              </w:rPr>
              <w:t>Gov Portfolio</w:t>
            </w:r>
            <w:r>
              <w:rPr>
                <w:rFonts w:ascii="Arial Narrow" w:eastAsiaTheme="majorEastAsia" w:hAnsi="Arial Narrow"/>
                <w:b/>
                <w:bCs/>
                <w:lang w:val="en-GB"/>
              </w:rPr>
              <w:t xml:space="preserve"> Committee</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272FD2DE" w:rsidR="005116D2" w:rsidRPr="00D74068" w:rsidRDefault="000F7DFB" w:rsidP="00AF0E97">
            <w:pPr>
              <w:rPr>
                <w:rFonts w:ascii="Arial Narrow" w:eastAsiaTheme="majorEastAsia" w:hAnsi="Arial Narrow"/>
                <w:b/>
                <w:bCs/>
                <w:lang w:val="en-GB"/>
              </w:rPr>
            </w:pPr>
            <w:r>
              <w:rPr>
                <w:rFonts w:ascii="Arial Narrow" w:eastAsiaTheme="majorEastAsia" w:hAnsi="Arial Narrow"/>
                <w:b/>
                <w:bCs/>
                <w:lang w:val="en-GB"/>
              </w:rPr>
              <w:t xml:space="preserve">Gauteng Department of </w:t>
            </w:r>
            <w:r w:rsidR="00451555">
              <w:rPr>
                <w:rFonts w:ascii="Arial Narrow" w:eastAsiaTheme="majorEastAsia" w:hAnsi="Arial Narrow"/>
                <w:b/>
                <w:bCs/>
                <w:lang w:val="en-GB"/>
              </w:rPr>
              <w:t>CoGTA</w:t>
            </w:r>
          </w:p>
        </w:tc>
      </w:tr>
      <w:tr w:rsidR="0093042D"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21CE1067" w:rsidR="005116D2" w:rsidRPr="00D74068" w:rsidRDefault="00141B32" w:rsidP="00AF0E97">
            <w:pPr>
              <w:rPr>
                <w:rFonts w:ascii="Arial Narrow" w:eastAsiaTheme="majorEastAsia" w:hAnsi="Arial Narrow"/>
                <w:b/>
                <w:bCs/>
                <w:lang w:val="en-GB"/>
              </w:rPr>
            </w:pPr>
            <w:r>
              <w:rPr>
                <w:rFonts w:ascii="Arial Narrow" w:eastAsiaTheme="majorEastAsia" w:hAnsi="Arial Narrow"/>
                <w:b/>
                <w:bCs/>
                <w:lang w:val="en-GB"/>
              </w:rPr>
              <w:t>202</w:t>
            </w:r>
            <w:r w:rsidR="005426CD">
              <w:rPr>
                <w:rFonts w:ascii="Arial Narrow" w:eastAsiaTheme="majorEastAsia" w:hAnsi="Arial Narrow"/>
                <w:b/>
                <w:bCs/>
                <w:lang w:val="en-GB"/>
              </w:rPr>
              <w:t>3</w:t>
            </w:r>
            <w:r>
              <w:rPr>
                <w:rFonts w:ascii="Arial Narrow" w:eastAsiaTheme="majorEastAsia" w:hAnsi="Arial Narrow"/>
                <w:b/>
                <w:bCs/>
                <w:lang w:val="en-GB"/>
              </w:rPr>
              <w:t>/202</w:t>
            </w:r>
            <w:r w:rsidR="005426CD">
              <w:rPr>
                <w:rFonts w:ascii="Arial Narrow" w:eastAsiaTheme="majorEastAsia" w:hAnsi="Arial Narrow"/>
                <w:b/>
                <w:bCs/>
                <w:lang w:val="en-GB"/>
              </w:rPr>
              <w:t>4</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60587D5E" w:rsidR="005116D2" w:rsidRPr="00D74068" w:rsidRDefault="009041C3" w:rsidP="00AF0E97">
            <w:pPr>
              <w:rPr>
                <w:rFonts w:ascii="Arial Narrow" w:eastAsiaTheme="majorEastAsia" w:hAnsi="Arial Narrow"/>
                <w:b/>
                <w:bCs/>
                <w:lang w:val="en-GB"/>
              </w:rPr>
            </w:pPr>
            <w:r>
              <w:rPr>
                <w:rFonts w:ascii="Arial Narrow" w:eastAsiaTheme="majorEastAsia" w:hAnsi="Arial Narrow"/>
                <w:b/>
                <w:bCs/>
                <w:lang w:val="en-GB"/>
              </w:rPr>
              <w:t>7</w:t>
            </w:r>
          </w:p>
        </w:tc>
      </w:tr>
      <w:tr w:rsidR="0093042D"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6165B065" w:rsidR="005116D2" w:rsidRPr="00D74068" w:rsidRDefault="00451555" w:rsidP="00AF0E97">
            <w:pPr>
              <w:rPr>
                <w:rFonts w:ascii="Arial Narrow" w:eastAsiaTheme="majorEastAsia" w:hAnsi="Arial Narrow"/>
                <w:b/>
                <w:bCs/>
                <w:lang w:val="en-GB"/>
              </w:rPr>
            </w:pPr>
            <w:r>
              <w:rPr>
                <w:rFonts w:ascii="Arial Narrow" w:eastAsiaTheme="majorEastAsia" w:hAnsi="Arial Narrow"/>
                <w:b/>
                <w:bCs/>
                <w:lang w:val="en-GB"/>
              </w:rPr>
              <w:t>2</w:t>
            </w:r>
            <w:r w:rsidRPr="00451555">
              <w:rPr>
                <w:rFonts w:ascii="Arial Narrow" w:eastAsiaTheme="majorEastAsia" w:hAnsi="Arial Narrow"/>
                <w:b/>
                <w:bCs/>
                <w:vertAlign w:val="superscript"/>
                <w:lang w:val="en-GB"/>
              </w:rPr>
              <w:t>nd</w:t>
            </w:r>
            <w:r>
              <w:rPr>
                <w:rFonts w:ascii="Arial Narrow" w:eastAsiaTheme="majorEastAsia" w:hAnsi="Arial Narrow"/>
                <w:b/>
                <w:bCs/>
                <w:lang w:val="en-GB"/>
              </w:rPr>
              <w:t xml:space="preserve"> </w:t>
            </w:r>
          </w:p>
        </w:tc>
        <w:tc>
          <w:tcPr>
            <w:tcW w:w="2246" w:type="dxa"/>
            <w:shd w:val="clear" w:color="auto" w:fill="D9D9D9" w:themeFill="background1" w:themeFillShade="D9"/>
          </w:tcPr>
          <w:p w14:paraId="3CD4B248" w14:textId="77777777"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2DAF9748" w:rsidR="005116D2" w:rsidRPr="00D74068" w:rsidRDefault="00371545" w:rsidP="00AF0E97">
            <w:pPr>
              <w:rPr>
                <w:rFonts w:ascii="Arial Narrow" w:eastAsiaTheme="majorEastAsia" w:hAnsi="Arial Narrow"/>
                <w:b/>
                <w:bCs/>
                <w:lang w:val="en-GB"/>
              </w:rPr>
            </w:pPr>
            <w:r>
              <w:rPr>
                <w:rFonts w:ascii="Arial Narrow" w:eastAsiaTheme="majorEastAsia" w:hAnsi="Arial Narrow"/>
                <w:b/>
                <w:bCs/>
                <w:sz w:val="24"/>
                <w:szCs w:val="24"/>
                <w:lang w:val="en-GB"/>
              </w:rPr>
              <w:t xml:space="preserve">Mr </w:t>
            </w:r>
            <w:r w:rsidR="00630D76">
              <w:rPr>
                <w:rFonts w:ascii="Arial Narrow" w:eastAsiaTheme="majorEastAsia" w:hAnsi="Arial Narrow"/>
                <w:b/>
                <w:bCs/>
                <w:sz w:val="24"/>
                <w:szCs w:val="24"/>
                <w:lang w:val="en-GB"/>
              </w:rPr>
              <w:t>Mzi Khumalo</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93042D"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93042D" w:rsidRPr="00D74068" w14:paraId="781C313C" w14:textId="77777777" w:rsidTr="00C52E7A">
        <w:trPr>
          <w:tblHeader/>
        </w:trPr>
        <w:tc>
          <w:tcPr>
            <w:tcW w:w="2235" w:type="dxa"/>
            <w:shd w:val="clear" w:color="auto" w:fill="D9D9D9" w:themeFill="background1" w:themeFillShade="D9"/>
          </w:tcPr>
          <w:p w14:paraId="7BFC7DCF" w14:textId="02A6F545" w:rsidR="00124369" w:rsidRPr="00D74068" w:rsidRDefault="00124369" w:rsidP="00AF0E97">
            <w:pPr>
              <w:ind w:right="996"/>
              <w:rPr>
                <w:rFonts w:ascii="Arial Narrow" w:eastAsiaTheme="majorEastAsia" w:hAnsi="Arial Narrow"/>
                <w:b/>
                <w:bCs/>
                <w:lang w:val="en-GB"/>
              </w:rPr>
            </w:pPr>
            <w:r w:rsidRPr="00D74068">
              <w:rPr>
                <w:rFonts w:ascii="Arial Narrow" w:eastAsiaTheme="majorEastAsia" w:hAnsi="Arial Narrow"/>
                <w:b/>
                <w:bCs/>
                <w:lang w:val="en-GB"/>
              </w:rPr>
              <w:t>Hon.</w:t>
            </w:r>
            <w:r w:rsidR="0093042D">
              <w:rPr>
                <w:rFonts w:ascii="Arial Narrow" w:eastAsiaTheme="majorEastAsia" w:hAnsi="Arial Narrow"/>
                <w:b/>
                <w:bCs/>
                <w:lang w:val="en-GB"/>
              </w:rPr>
              <w:t xml:space="preserve"> </w:t>
            </w:r>
            <w:r w:rsidR="006620B5">
              <w:rPr>
                <w:rFonts w:ascii="Arial Narrow" w:eastAsiaTheme="majorEastAsia" w:hAnsi="Arial Narrow"/>
                <w:b/>
                <w:bCs/>
                <w:lang w:val="en-GB"/>
              </w:rPr>
              <w:t xml:space="preserve">Acting </w:t>
            </w:r>
            <w:r w:rsidRPr="00D74068">
              <w:rPr>
                <w:rFonts w:ascii="Arial Narrow" w:eastAsiaTheme="majorEastAsia" w:hAnsi="Arial Narrow"/>
                <w:b/>
                <w:bCs/>
                <w:lang w:val="en-GB"/>
              </w:rPr>
              <w:t>Chairperson</w:t>
            </w:r>
          </w:p>
        </w:tc>
        <w:tc>
          <w:tcPr>
            <w:tcW w:w="7399" w:type="dxa"/>
            <w:gridSpan w:val="2"/>
            <w:shd w:val="clear" w:color="auto" w:fill="auto"/>
          </w:tcPr>
          <w:p w14:paraId="20737200" w14:textId="09AB66E9" w:rsidR="00124369" w:rsidRPr="00D74068" w:rsidRDefault="000F7DFB" w:rsidP="00AF0E97">
            <w:pPr>
              <w:rPr>
                <w:rFonts w:ascii="Arial Narrow" w:hAnsi="Arial Narrow"/>
              </w:rPr>
            </w:pPr>
            <w:r>
              <w:rPr>
                <w:rFonts w:ascii="Arial Narrow" w:hAnsi="Arial Narrow"/>
              </w:rPr>
              <w:t xml:space="preserve">Ms </w:t>
            </w:r>
            <w:r w:rsidR="006620B5">
              <w:rPr>
                <w:rFonts w:ascii="Arial Narrow" w:hAnsi="Arial Narrow"/>
              </w:rPr>
              <w:t>Busisiwe Mncube</w:t>
            </w:r>
          </w:p>
        </w:tc>
        <w:tc>
          <w:tcPr>
            <w:tcW w:w="4536" w:type="dxa"/>
            <w:shd w:val="clear" w:color="auto" w:fill="auto"/>
          </w:tcPr>
          <w:p w14:paraId="79D193B3" w14:textId="5F0A2204" w:rsidR="00141B32" w:rsidRPr="00141B32" w:rsidRDefault="00630D76" w:rsidP="00AF0E97">
            <w:pPr>
              <w:rPr>
                <w:rFonts w:ascii="Arial Narrow" w:hAnsi="Arial Narrow"/>
                <w:b/>
                <w:bCs/>
              </w:rPr>
            </w:pPr>
            <w:r>
              <w:rPr>
                <w:rFonts w:ascii="Arial Narrow" w:hAnsi="Arial Narrow"/>
                <w:b/>
                <w:bCs/>
              </w:rPr>
              <w:t>T</w:t>
            </w:r>
            <w:r w:rsidR="005426CD">
              <w:rPr>
                <w:rFonts w:ascii="Arial Narrow" w:hAnsi="Arial Narrow"/>
                <w:b/>
                <w:bCs/>
              </w:rPr>
              <w:t>hur</w:t>
            </w:r>
            <w:r>
              <w:rPr>
                <w:rFonts w:ascii="Arial Narrow" w:hAnsi="Arial Narrow"/>
                <w:b/>
                <w:bCs/>
              </w:rPr>
              <w:t xml:space="preserve">sday, </w:t>
            </w:r>
            <w:r w:rsidR="006620B5">
              <w:rPr>
                <w:rFonts w:ascii="Arial Narrow" w:hAnsi="Arial Narrow"/>
                <w:b/>
                <w:bCs/>
              </w:rPr>
              <w:t>30</w:t>
            </w:r>
            <w:r>
              <w:rPr>
                <w:rFonts w:ascii="Arial Narrow" w:hAnsi="Arial Narrow"/>
                <w:b/>
                <w:bCs/>
              </w:rPr>
              <w:t xml:space="preserve"> November 202</w:t>
            </w:r>
            <w:r w:rsidR="005426CD">
              <w:rPr>
                <w:rFonts w:ascii="Arial Narrow" w:hAnsi="Arial Narrow"/>
                <w:b/>
                <w:bCs/>
              </w:rPr>
              <w:t>3</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AF0E97">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93042D"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AF0E97">
            <w:pPr>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AF0E97">
            <w:pPr>
              <w:rPr>
                <w:rFonts w:ascii="Arial Narrow" w:hAnsi="Arial Narrow"/>
              </w:rPr>
            </w:pPr>
            <w:r w:rsidRPr="00D74068">
              <w:rPr>
                <w:rFonts w:ascii="Arial Narrow" w:hAnsi="Arial Narrow"/>
                <w:b/>
              </w:rPr>
              <w:t>Scheduled date of House Tabling</w:t>
            </w:r>
          </w:p>
        </w:tc>
      </w:tr>
      <w:tr w:rsidR="0093042D" w:rsidRPr="00D74068" w14:paraId="4F6F23C6" w14:textId="77777777" w:rsidTr="00124369">
        <w:trPr>
          <w:tblHeader/>
        </w:trPr>
        <w:tc>
          <w:tcPr>
            <w:tcW w:w="9634" w:type="dxa"/>
            <w:gridSpan w:val="3"/>
            <w:shd w:val="clear" w:color="auto" w:fill="auto"/>
          </w:tcPr>
          <w:p w14:paraId="3B24FFF4" w14:textId="7DF0CFA6" w:rsidR="000F7DFB" w:rsidRPr="00D74068" w:rsidRDefault="00630D76" w:rsidP="000F7DFB">
            <w:pPr>
              <w:rPr>
                <w:rFonts w:ascii="Arial Narrow" w:eastAsiaTheme="majorEastAsia" w:hAnsi="Arial Narrow"/>
                <w:b/>
                <w:bCs/>
                <w:lang w:val="en-GB"/>
              </w:rPr>
            </w:pPr>
            <w:r>
              <w:rPr>
                <w:rFonts w:ascii="Arial Narrow" w:hAnsi="Arial Narrow"/>
                <w:b/>
                <w:bCs/>
              </w:rPr>
              <w:t>T</w:t>
            </w:r>
            <w:r w:rsidR="005426CD">
              <w:rPr>
                <w:rFonts w:ascii="Arial Narrow" w:hAnsi="Arial Narrow"/>
                <w:b/>
                <w:bCs/>
              </w:rPr>
              <w:t>hur</w:t>
            </w:r>
            <w:r>
              <w:rPr>
                <w:rFonts w:ascii="Arial Narrow" w:hAnsi="Arial Narrow"/>
                <w:b/>
                <w:bCs/>
              </w:rPr>
              <w:t xml:space="preserve">sday, </w:t>
            </w:r>
            <w:r w:rsidR="006620B5">
              <w:rPr>
                <w:rFonts w:ascii="Arial Narrow" w:hAnsi="Arial Narrow"/>
                <w:b/>
                <w:bCs/>
              </w:rPr>
              <w:t>30</w:t>
            </w:r>
            <w:r>
              <w:rPr>
                <w:rFonts w:ascii="Arial Narrow" w:hAnsi="Arial Narrow"/>
                <w:b/>
                <w:bCs/>
              </w:rPr>
              <w:t xml:space="preserve"> November 202</w:t>
            </w:r>
            <w:r w:rsidR="005426CD">
              <w:rPr>
                <w:rFonts w:ascii="Arial Narrow" w:hAnsi="Arial Narrow"/>
                <w:b/>
                <w:bCs/>
              </w:rPr>
              <w:t>3</w:t>
            </w:r>
          </w:p>
        </w:tc>
        <w:tc>
          <w:tcPr>
            <w:tcW w:w="4536" w:type="dxa"/>
            <w:shd w:val="clear" w:color="auto" w:fill="auto"/>
          </w:tcPr>
          <w:p w14:paraId="157BF4E8" w14:textId="3A0A4668" w:rsidR="000F7DFB" w:rsidRPr="00D74068" w:rsidRDefault="005B7125" w:rsidP="000F7DFB">
            <w:pPr>
              <w:rPr>
                <w:rFonts w:ascii="Arial Narrow" w:hAnsi="Arial Narrow"/>
                <w:b/>
              </w:rPr>
            </w:pPr>
            <w:r>
              <w:rPr>
                <w:rFonts w:ascii="Arial Narrow" w:hAnsi="Arial Narrow"/>
                <w:b/>
              </w:rPr>
              <w:t>Tues</w:t>
            </w:r>
            <w:r w:rsidR="00256662">
              <w:rPr>
                <w:rFonts w:ascii="Arial Narrow" w:hAnsi="Arial Narrow"/>
                <w:b/>
              </w:rPr>
              <w:t xml:space="preserve">day, </w:t>
            </w:r>
            <w:r>
              <w:rPr>
                <w:rFonts w:ascii="Arial Narrow" w:hAnsi="Arial Narrow"/>
                <w:b/>
              </w:rPr>
              <w:t>0</w:t>
            </w:r>
            <w:r w:rsidR="00442B7A">
              <w:rPr>
                <w:rFonts w:ascii="Arial Narrow" w:hAnsi="Arial Narrow"/>
                <w:b/>
              </w:rPr>
              <w:t>6</w:t>
            </w:r>
            <w:r w:rsidR="00451555">
              <w:rPr>
                <w:rFonts w:ascii="Arial Narrow" w:hAnsi="Arial Narrow"/>
                <w:b/>
              </w:rPr>
              <w:t xml:space="preserve"> Dec</w:t>
            </w:r>
            <w:r w:rsidR="00D24D47">
              <w:rPr>
                <w:rFonts w:ascii="Arial Narrow" w:hAnsi="Arial Narrow"/>
                <w:b/>
              </w:rPr>
              <w:t>ember</w:t>
            </w:r>
            <w:r w:rsidR="00031542" w:rsidRPr="00F53E0D">
              <w:rPr>
                <w:rFonts w:ascii="Arial Narrow" w:hAnsi="Arial Narrow"/>
                <w:b/>
              </w:rPr>
              <w:t xml:space="preserve"> 202</w:t>
            </w:r>
            <w:r w:rsidR="004254A1">
              <w:rPr>
                <w:rFonts w:ascii="Arial Narrow" w:hAnsi="Arial Narrow"/>
                <w:b/>
              </w:rPr>
              <w:t>2</w:t>
            </w:r>
            <w:r w:rsidR="00141B32" w:rsidRPr="00F53E0D">
              <w:rPr>
                <w:rFonts w:ascii="Arial Narrow" w:hAnsi="Arial Narrow"/>
                <w:b/>
              </w:rPr>
              <w:t xml:space="preserve">  </w:t>
            </w:r>
          </w:p>
        </w:tc>
      </w:tr>
    </w:tbl>
    <w:p w14:paraId="75BC454F" w14:textId="77777777" w:rsidR="00880E01" w:rsidRPr="00D74068" w:rsidRDefault="00880E01" w:rsidP="00AF0E97">
      <w:pPr>
        <w:rPr>
          <w:rFonts w:ascii="Arial Narrow" w:hAnsi="Arial Narrow"/>
          <w:b/>
          <w:bCs/>
        </w:rPr>
      </w:pPr>
    </w:p>
    <w:p w14:paraId="52BBD47F" w14:textId="77777777" w:rsidR="00880E01" w:rsidRPr="00D74068" w:rsidRDefault="00880E01" w:rsidP="00AF0E97">
      <w:pPr>
        <w:spacing w:after="200"/>
        <w:jc w:val="left"/>
        <w:rPr>
          <w:rFonts w:ascii="Arial Narrow" w:hAnsi="Arial Narrow"/>
          <w:b/>
          <w:bCs/>
        </w:rPr>
      </w:pPr>
      <w:r w:rsidRPr="00D74068">
        <w:rPr>
          <w:rFonts w:ascii="Arial Narrow" w:hAnsi="Arial Narrow"/>
          <w:b/>
          <w:bCs/>
        </w:rPr>
        <w:br w:type="page"/>
      </w:r>
    </w:p>
    <w:p w14:paraId="0AD3DC17" w14:textId="77777777" w:rsidR="004B7663" w:rsidRPr="00D74068" w:rsidRDefault="00B114B8" w:rsidP="00C67137">
      <w:pPr>
        <w:shd w:val="clear" w:color="auto" w:fill="D9D9D9" w:themeFill="background1" w:themeFillShade="D9"/>
        <w:rPr>
          <w:rFonts w:ascii="Arial Narrow" w:hAnsi="Arial Narrow"/>
          <w:b/>
          <w:bCs/>
          <w:color w:val="000000" w:themeColor="text1"/>
        </w:rPr>
      </w:pPr>
      <w:r w:rsidRPr="00D74068">
        <w:rPr>
          <w:rFonts w:ascii="Arial Narrow" w:hAnsi="Arial Narrow"/>
          <w:b/>
          <w:bCs/>
          <w:color w:val="000000" w:themeColor="text1"/>
        </w:rPr>
        <w:t>NOTES:</w:t>
      </w:r>
    </w:p>
    <w:p w14:paraId="7243C02E" w14:textId="77777777" w:rsidR="00C67137" w:rsidRPr="00D74068" w:rsidRDefault="00C67137" w:rsidP="00C67137">
      <w:pPr>
        <w:rPr>
          <w:rFonts w:ascii="Arial Narrow" w:hAnsi="Arial Narrow"/>
          <w:b/>
          <w:color w:val="000000" w:themeColor="text1"/>
        </w:rPr>
      </w:pPr>
    </w:p>
    <w:p w14:paraId="7CAF0A8F" w14:textId="10762B63" w:rsidR="00B114B8" w:rsidRPr="00D74068" w:rsidRDefault="00B114B8"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When expressing monetary amounts, please use South African Rand only “R”</w:t>
      </w:r>
      <w:r w:rsidR="0031352C" w:rsidRPr="00D74068">
        <w:rPr>
          <w:rFonts w:ascii="Arial Narrow" w:hAnsi="Arial Narrow"/>
          <w:bCs/>
          <w:color w:val="000000" w:themeColor="text1"/>
        </w:rPr>
        <w:t xml:space="preserve"> and express the full Rand amount with no </w:t>
      </w:r>
      <w:r w:rsidR="004265BA" w:rsidRPr="00D74068">
        <w:rPr>
          <w:rFonts w:ascii="Arial Narrow" w:hAnsi="Arial Narrow"/>
          <w:bCs/>
          <w:color w:val="000000" w:themeColor="text1"/>
        </w:rPr>
        <w:t>cents.</w:t>
      </w:r>
    </w:p>
    <w:p w14:paraId="62351698" w14:textId="34A05D88" w:rsidR="00B114B8" w:rsidRPr="00D74068" w:rsidRDefault="00B114B8"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 xml:space="preserve">When expressing percentage, please use the “%” sign and round off to two (2) decimal </w:t>
      </w:r>
      <w:r w:rsidR="004265BA" w:rsidRPr="00D74068">
        <w:rPr>
          <w:rFonts w:ascii="Arial Narrow" w:hAnsi="Arial Narrow"/>
          <w:bCs/>
          <w:color w:val="000000" w:themeColor="text1"/>
        </w:rPr>
        <w:t>places.</w:t>
      </w:r>
    </w:p>
    <w:p w14:paraId="29B0AECB" w14:textId="55EAB796" w:rsidR="0031352C" w:rsidRPr="00D74068" w:rsidRDefault="0031352C"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 xml:space="preserve">When </w:t>
      </w:r>
      <w:r w:rsidR="00BF4C54" w:rsidRPr="00D74068">
        <w:rPr>
          <w:rFonts w:ascii="Arial Narrow" w:hAnsi="Arial Narrow"/>
          <w:bCs/>
          <w:color w:val="000000" w:themeColor="text1"/>
        </w:rPr>
        <w:t>analyzing</w:t>
      </w:r>
      <w:r w:rsidRPr="00D74068">
        <w:rPr>
          <w:rFonts w:ascii="Arial Narrow" w:hAnsi="Arial Narrow"/>
          <w:bCs/>
          <w:color w:val="000000" w:themeColor="text1"/>
        </w:rPr>
        <w:t xml:space="preserv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please do NOT copy and paste the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 budget tables. These need to be </w:t>
      </w:r>
      <w:r w:rsidR="00911B2B" w:rsidRPr="00D74068">
        <w:rPr>
          <w:rFonts w:ascii="Arial Narrow" w:hAnsi="Arial Narrow"/>
          <w:bCs/>
          <w:color w:val="000000" w:themeColor="text1"/>
        </w:rPr>
        <w:t>analyzed</w:t>
      </w:r>
      <w:r w:rsidRPr="00D74068">
        <w:rPr>
          <w:rFonts w:ascii="Arial Narrow" w:hAnsi="Arial Narrow"/>
          <w:bCs/>
          <w:color w:val="000000" w:themeColor="text1"/>
        </w:rPr>
        <w:t>.</w:t>
      </w:r>
    </w:p>
    <w:p w14:paraId="7A2E78F6" w14:textId="139B912F" w:rsidR="00D01F03" w:rsidRPr="00D74068" w:rsidRDefault="00D01F03"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In the Executive Summary, include just the strategic or high level “</w:t>
      </w:r>
      <w:r w:rsidR="004265BA" w:rsidRPr="00D74068">
        <w:rPr>
          <w:rFonts w:ascii="Arial Narrow" w:hAnsi="Arial Narrow"/>
          <w:bCs/>
          <w:color w:val="000000" w:themeColor="text1"/>
        </w:rPr>
        <w:t>Snapshots</w:t>
      </w:r>
      <w:r w:rsidRPr="00D74068">
        <w:rPr>
          <w:rFonts w:ascii="Arial Narrow" w:hAnsi="Arial Narrow"/>
          <w:bCs/>
          <w:color w:val="000000" w:themeColor="text1"/>
        </w:rPr>
        <w:t xml:space="preserve">” of the required information. Details will be provided later in the report under “Programme </w:t>
      </w:r>
      <w:r w:rsidR="004265BA" w:rsidRPr="00D74068">
        <w:rPr>
          <w:rFonts w:ascii="Arial Narrow" w:hAnsi="Arial Narrow"/>
          <w:bCs/>
          <w:color w:val="000000" w:themeColor="text1"/>
        </w:rPr>
        <w:t>Achievement.</w:t>
      </w:r>
      <w:r w:rsidRPr="00D74068">
        <w:rPr>
          <w:rFonts w:ascii="Arial Narrow" w:hAnsi="Arial Narrow"/>
          <w:bCs/>
          <w:color w:val="000000" w:themeColor="text1"/>
        </w:rPr>
        <w:t>”</w:t>
      </w:r>
    </w:p>
    <w:p w14:paraId="63E35FB0" w14:textId="77777777" w:rsidR="00DD4EA2" w:rsidRPr="00D74068" w:rsidRDefault="00DD4EA2" w:rsidP="00AF0E97">
      <w:pPr>
        <w:spacing w:after="200"/>
        <w:jc w:val="left"/>
        <w:rPr>
          <w:rFonts w:ascii="Arial Narrow" w:hAnsi="Arial Narrow"/>
          <w:bCs/>
        </w:rPr>
      </w:pPr>
      <w:r w:rsidRPr="00D74068">
        <w:rPr>
          <w:rFonts w:ascii="Arial Narrow" w:hAnsi="Arial Narrow"/>
          <w:bCs/>
        </w:rPr>
        <w:br w:type="page"/>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rPr>
      </w:sdtEndPr>
      <w:sdtContent>
        <w:p w14:paraId="7AD8BE4D" w14:textId="77777777" w:rsidR="00D754DB" w:rsidRPr="00D74068" w:rsidRDefault="00D754DB" w:rsidP="00AF0E97">
          <w:pPr>
            <w:pStyle w:val="TOCHeading"/>
            <w:spacing w:line="360" w:lineRule="auto"/>
            <w:rPr>
              <w:rFonts w:ascii="Arial Narrow" w:hAnsi="Arial Narrow"/>
              <w:sz w:val="22"/>
              <w:szCs w:val="22"/>
            </w:rPr>
          </w:pPr>
          <w:r w:rsidRPr="00D74068">
            <w:rPr>
              <w:rFonts w:ascii="Arial Narrow" w:hAnsi="Arial Narrow"/>
              <w:sz w:val="22"/>
              <w:szCs w:val="22"/>
            </w:rPr>
            <w:t>Contents</w:t>
          </w:r>
        </w:p>
        <w:p w14:paraId="1AB37CCE" w14:textId="13A0509E" w:rsidR="004A0F05" w:rsidRPr="00D74068" w:rsidRDefault="00D754DB">
          <w:pPr>
            <w:pStyle w:val="TOC1"/>
            <w:tabs>
              <w:tab w:val="right" w:leader="dot" w:pos="13948"/>
            </w:tabs>
            <w:rPr>
              <w:rFonts w:ascii="Arial Narrow" w:eastAsiaTheme="minorEastAsia" w:hAnsi="Arial Narrow"/>
              <w:noProof/>
              <w:lang w:eastAsia="en-ZA"/>
            </w:rPr>
          </w:pPr>
          <w:r w:rsidRPr="00D74068">
            <w:rPr>
              <w:rFonts w:ascii="Arial Narrow" w:hAnsi="Arial Narrow"/>
            </w:rPr>
            <w:fldChar w:fldCharType="begin"/>
          </w:r>
          <w:r w:rsidRPr="00D74068">
            <w:rPr>
              <w:rFonts w:ascii="Arial Narrow" w:hAnsi="Arial Narrow"/>
            </w:rPr>
            <w:instrText xml:space="preserve"> TOC \o "1-3" \h \z \u </w:instrText>
          </w:r>
          <w:r w:rsidRPr="00D74068">
            <w:rPr>
              <w:rFonts w:ascii="Arial Narrow" w:hAnsi="Arial Narrow"/>
            </w:rPr>
            <w:fldChar w:fldCharType="separate"/>
          </w:r>
          <w:hyperlink w:anchor="_Toc50576907" w:history="1">
            <w:r w:rsidR="004A0F05" w:rsidRPr="00D74068">
              <w:rPr>
                <w:rStyle w:val="Hyperlink"/>
                <w:rFonts w:ascii="Arial Narrow" w:hAnsi="Arial Narrow"/>
                <w:noProof/>
              </w:rPr>
              <w:t>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ABBREVIATIONS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5</w:t>
            </w:r>
            <w:r w:rsidR="004A0F05" w:rsidRPr="00D74068">
              <w:rPr>
                <w:rFonts w:ascii="Arial Narrow" w:hAnsi="Arial Narrow"/>
                <w:noProof/>
                <w:webHidden/>
              </w:rPr>
              <w:fldChar w:fldCharType="end"/>
            </w:r>
          </w:hyperlink>
        </w:p>
        <w:p w14:paraId="72C7BE14" w14:textId="50AB3D86" w:rsidR="004A0F05" w:rsidRPr="00D74068" w:rsidRDefault="00000000">
          <w:pPr>
            <w:pStyle w:val="TOC1"/>
            <w:tabs>
              <w:tab w:val="right" w:leader="dot" w:pos="13948"/>
            </w:tabs>
            <w:rPr>
              <w:rFonts w:ascii="Arial Narrow" w:eastAsiaTheme="minorEastAsia" w:hAnsi="Arial Narrow"/>
              <w:noProof/>
              <w:lang w:eastAsia="en-ZA"/>
            </w:rPr>
          </w:pPr>
          <w:hyperlink w:anchor="_Toc50576908" w:history="1">
            <w:r w:rsidR="004A0F05" w:rsidRPr="00D74068">
              <w:rPr>
                <w:rStyle w:val="Hyperlink"/>
                <w:rFonts w:ascii="Arial Narrow" w:hAnsi="Arial Narrow"/>
                <w:noProof/>
              </w:rPr>
              <w:t>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SUMMARY</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6</w:t>
            </w:r>
            <w:r w:rsidR="004A0F05" w:rsidRPr="00D74068">
              <w:rPr>
                <w:rFonts w:ascii="Arial Narrow" w:hAnsi="Arial Narrow"/>
                <w:noProof/>
                <w:webHidden/>
              </w:rPr>
              <w:fldChar w:fldCharType="end"/>
            </w:r>
          </w:hyperlink>
        </w:p>
        <w:p w14:paraId="73D3FDE6" w14:textId="1D1E0F8E" w:rsidR="004A0F05" w:rsidRPr="00D74068" w:rsidRDefault="00000000">
          <w:pPr>
            <w:pStyle w:val="TOC1"/>
            <w:tabs>
              <w:tab w:val="right" w:leader="dot" w:pos="13948"/>
            </w:tabs>
            <w:rPr>
              <w:rFonts w:ascii="Arial Narrow" w:eastAsiaTheme="minorEastAsia" w:hAnsi="Arial Narrow"/>
              <w:noProof/>
              <w:lang w:eastAsia="en-ZA"/>
            </w:rPr>
          </w:pPr>
          <w:hyperlink w:anchor="_Toc50576909" w:history="1">
            <w:r w:rsidR="004A0F05" w:rsidRPr="00D74068">
              <w:rPr>
                <w:rStyle w:val="Hyperlink"/>
                <w:rFonts w:ascii="Arial Narrow" w:hAnsi="Arial Narrow"/>
                <w:noProof/>
              </w:rPr>
              <w:t>iii.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INTRODUCTION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10</w:t>
            </w:r>
            <w:r w:rsidR="004A0F05" w:rsidRPr="00D74068">
              <w:rPr>
                <w:rFonts w:ascii="Arial Narrow" w:hAnsi="Arial Narrow"/>
                <w:noProof/>
                <w:webHidden/>
              </w:rPr>
              <w:fldChar w:fldCharType="end"/>
            </w:r>
          </w:hyperlink>
        </w:p>
        <w:p w14:paraId="26C04B7B" w14:textId="40BAC8F5" w:rsidR="004A0F05" w:rsidRPr="00D74068" w:rsidRDefault="00000000">
          <w:pPr>
            <w:pStyle w:val="TOC1"/>
            <w:tabs>
              <w:tab w:val="right" w:leader="dot" w:pos="13948"/>
            </w:tabs>
            <w:rPr>
              <w:rFonts w:ascii="Arial Narrow" w:eastAsiaTheme="minorEastAsia" w:hAnsi="Arial Narrow"/>
              <w:noProof/>
              <w:lang w:eastAsia="en-ZA"/>
            </w:rPr>
          </w:pPr>
          <w:hyperlink w:anchor="_Toc50576910" w:history="1">
            <w:r w:rsidR="004A0F05" w:rsidRPr="00D74068">
              <w:rPr>
                <w:rStyle w:val="Hyperlink"/>
                <w:rFonts w:ascii="Arial Narrow" w:hAnsi="Arial Narrow"/>
                <w:noProof/>
              </w:rPr>
              <w:t>iv.</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PROCESS FOLLOWED</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11</w:t>
            </w:r>
            <w:r w:rsidR="004A0F05" w:rsidRPr="00D74068">
              <w:rPr>
                <w:rFonts w:ascii="Arial Narrow" w:hAnsi="Arial Narrow"/>
                <w:noProof/>
                <w:webHidden/>
              </w:rPr>
              <w:fldChar w:fldCharType="end"/>
            </w:r>
          </w:hyperlink>
        </w:p>
        <w:p w14:paraId="3A1C68F4" w14:textId="492DD902" w:rsidR="004A0F05" w:rsidRPr="00D74068" w:rsidRDefault="00000000">
          <w:pPr>
            <w:pStyle w:val="TOC1"/>
            <w:tabs>
              <w:tab w:val="right" w:leader="dot" w:pos="13948"/>
            </w:tabs>
            <w:rPr>
              <w:rFonts w:ascii="Arial Narrow" w:eastAsiaTheme="minorEastAsia" w:hAnsi="Arial Narrow"/>
              <w:noProof/>
              <w:lang w:eastAsia="en-ZA"/>
            </w:rPr>
          </w:pPr>
          <w:hyperlink w:anchor="_Toc50576911" w:history="1">
            <w:r w:rsidR="004A0F05" w:rsidRPr="00D74068">
              <w:rPr>
                <w:rStyle w:val="Hyperlink"/>
                <w:rFonts w:ascii="Arial Narrow" w:hAnsi="Arial Narrow"/>
                <w:noProof/>
              </w:rPr>
              <w:t>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STRATEGIC PRIORITIES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11</w:t>
            </w:r>
            <w:r w:rsidR="004A0F05" w:rsidRPr="00D74068">
              <w:rPr>
                <w:rFonts w:ascii="Arial Narrow" w:hAnsi="Arial Narrow"/>
                <w:noProof/>
                <w:webHidden/>
              </w:rPr>
              <w:fldChar w:fldCharType="end"/>
            </w:r>
          </w:hyperlink>
        </w:p>
        <w:p w14:paraId="6EF3261D" w14:textId="1A2BBF8C" w:rsidR="004A0F05" w:rsidRPr="00D74068" w:rsidRDefault="00000000">
          <w:pPr>
            <w:pStyle w:val="TOC1"/>
            <w:tabs>
              <w:tab w:val="right" w:leader="dot" w:pos="13948"/>
            </w:tabs>
            <w:rPr>
              <w:rFonts w:ascii="Arial Narrow" w:eastAsiaTheme="minorEastAsia" w:hAnsi="Arial Narrow"/>
              <w:noProof/>
              <w:lang w:eastAsia="en-ZA"/>
            </w:rPr>
          </w:pPr>
          <w:hyperlink w:anchor="_Toc50576912" w:history="1">
            <w:r w:rsidR="004A0F05" w:rsidRPr="00D74068">
              <w:rPr>
                <w:rStyle w:val="Hyperlink"/>
                <w:rFonts w:ascii="Arial Narrow" w:hAnsi="Arial Narrow"/>
                <w:noProof/>
              </w:rPr>
              <w:t>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APP TARGETS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12</w:t>
            </w:r>
            <w:r w:rsidR="004A0F05" w:rsidRPr="00D74068">
              <w:rPr>
                <w:rFonts w:ascii="Arial Narrow" w:hAnsi="Arial Narrow"/>
                <w:noProof/>
                <w:webHidden/>
              </w:rPr>
              <w:fldChar w:fldCharType="end"/>
            </w:r>
          </w:hyperlink>
        </w:p>
        <w:p w14:paraId="010A1FB3" w14:textId="4EEAA8E6" w:rsidR="004A0F05" w:rsidRPr="00D74068" w:rsidRDefault="00000000">
          <w:pPr>
            <w:pStyle w:val="TOC1"/>
            <w:tabs>
              <w:tab w:val="right" w:leader="dot" w:pos="13948"/>
            </w:tabs>
            <w:rPr>
              <w:rFonts w:ascii="Arial Narrow" w:eastAsiaTheme="minorEastAsia" w:hAnsi="Arial Narrow"/>
              <w:noProof/>
              <w:lang w:eastAsia="en-ZA"/>
            </w:rPr>
          </w:pPr>
          <w:hyperlink w:anchor="_Toc50576913" w:history="1">
            <w:r w:rsidR="004A0F05" w:rsidRPr="00D74068">
              <w:rPr>
                <w:rStyle w:val="Hyperlink"/>
                <w:rFonts w:ascii="Arial Narrow" w:hAnsi="Arial Narrow"/>
                <w:noProof/>
              </w:rPr>
              <w:t>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PROJECT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18</w:t>
            </w:r>
            <w:r w:rsidR="004A0F05" w:rsidRPr="00D74068">
              <w:rPr>
                <w:rFonts w:ascii="Arial Narrow" w:hAnsi="Arial Narrow"/>
                <w:noProof/>
                <w:webHidden/>
              </w:rPr>
              <w:fldChar w:fldCharType="end"/>
            </w:r>
          </w:hyperlink>
        </w:p>
        <w:p w14:paraId="7C6EBE8F" w14:textId="0C61D755" w:rsidR="004A0F05" w:rsidRPr="00D74068" w:rsidRDefault="00000000">
          <w:pPr>
            <w:pStyle w:val="TOC1"/>
            <w:tabs>
              <w:tab w:val="right" w:leader="dot" w:pos="13948"/>
            </w:tabs>
            <w:rPr>
              <w:rFonts w:ascii="Arial Narrow" w:eastAsiaTheme="minorEastAsia" w:hAnsi="Arial Narrow"/>
              <w:noProof/>
              <w:lang w:eastAsia="en-ZA"/>
            </w:rPr>
          </w:pPr>
          <w:hyperlink w:anchor="_Toc50576914" w:history="1">
            <w:r w:rsidR="004A0F05" w:rsidRPr="00D74068">
              <w:rPr>
                <w:rStyle w:val="Hyperlink"/>
                <w:rFonts w:ascii="Arial Narrow" w:hAnsi="Arial Narrow"/>
                <w:noProof/>
              </w:rPr>
              <w:t>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FINANCIAL PERFORMANCE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18</w:t>
            </w:r>
            <w:r w:rsidR="004A0F05" w:rsidRPr="00D74068">
              <w:rPr>
                <w:rFonts w:ascii="Arial Narrow" w:hAnsi="Arial Narrow"/>
                <w:noProof/>
                <w:webHidden/>
              </w:rPr>
              <w:fldChar w:fldCharType="end"/>
            </w:r>
          </w:hyperlink>
        </w:p>
        <w:p w14:paraId="3F917E6B" w14:textId="1AE90CAD" w:rsidR="004A0F05" w:rsidRPr="00D74068" w:rsidRDefault="00000000">
          <w:pPr>
            <w:pStyle w:val="TOC1"/>
            <w:tabs>
              <w:tab w:val="right" w:leader="dot" w:pos="13948"/>
            </w:tabs>
            <w:rPr>
              <w:rFonts w:ascii="Arial Narrow" w:eastAsiaTheme="minorEastAsia" w:hAnsi="Arial Narrow"/>
              <w:noProof/>
              <w:lang w:eastAsia="en-ZA"/>
            </w:rPr>
          </w:pPr>
          <w:hyperlink w:anchor="_Toc50576915" w:history="1">
            <w:r w:rsidR="004A0F05" w:rsidRPr="00D74068">
              <w:rPr>
                <w:rStyle w:val="Hyperlink"/>
                <w:rFonts w:ascii="Arial Narrow" w:hAnsi="Arial Narrow"/>
                <w:noProof/>
              </w:rPr>
              <w:t>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RESOLUTIONS AND PETITIONS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20</w:t>
            </w:r>
            <w:r w:rsidR="004A0F05" w:rsidRPr="00D74068">
              <w:rPr>
                <w:rFonts w:ascii="Arial Narrow" w:hAnsi="Arial Narrow"/>
                <w:noProof/>
                <w:webHidden/>
              </w:rPr>
              <w:fldChar w:fldCharType="end"/>
            </w:r>
          </w:hyperlink>
        </w:p>
        <w:p w14:paraId="4BABA7A9" w14:textId="59DCA99D" w:rsidR="004A0F05" w:rsidRPr="00D74068" w:rsidRDefault="00000000">
          <w:pPr>
            <w:pStyle w:val="TOC1"/>
            <w:tabs>
              <w:tab w:val="right" w:leader="dot" w:pos="13948"/>
            </w:tabs>
            <w:rPr>
              <w:rFonts w:ascii="Arial Narrow" w:eastAsiaTheme="minorEastAsia" w:hAnsi="Arial Narrow"/>
              <w:noProof/>
              <w:lang w:eastAsia="en-ZA"/>
            </w:rPr>
          </w:pPr>
          <w:hyperlink w:anchor="_Toc50576916" w:history="1">
            <w:r w:rsidR="004A0F05" w:rsidRPr="00D74068">
              <w:rPr>
                <w:rStyle w:val="Hyperlink"/>
                <w:rFonts w:ascii="Arial Narrow" w:hAnsi="Arial Narrow"/>
                <w:noProof/>
              </w:rPr>
              <w:t>6</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PUBLIC ENGAGEMENT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_Toc50576916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21</w:t>
            </w:r>
            <w:r w:rsidR="004A0F05" w:rsidRPr="00D74068">
              <w:rPr>
                <w:rFonts w:ascii="Arial Narrow" w:hAnsi="Arial Narrow"/>
                <w:noProof/>
                <w:webHidden/>
              </w:rPr>
              <w:fldChar w:fldCharType="end"/>
            </w:r>
          </w:hyperlink>
        </w:p>
        <w:p w14:paraId="134BE19A" w14:textId="6B2C79BC" w:rsidR="004A0F05" w:rsidRPr="00D74068" w:rsidRDefault="00000000">
          <w:pPr>
            <w:pStyle w:val="TOC1"/>
            <w:tabs>
              <w:tab w:val="right" w:leader="dot" w:pos="13948"/>
            </w:tabs>
            <w:rPr>
              <w:rFonts w:ascii="Arial Narrow" w:eastAsiaTheme="minorEastAsia" w:hAnsi="Arial Narrow"/>
              <w:noProof/>
              <w:lang w:eastAsia="en-ZA"/>
            </w:rPr>
          </w:pPr>
          <w:hyperlink w:anchor="_Toc50576917" w:history="1">
            <w:r w:rsidR="004A0F05" w:rsidRPr="00D74068">
              <w:rPr>
                <w:rStyle w:val="Hyperlink"/>
                <w:rFonts w:ascii="Arial Narrow" w:hAnsi="Arial Narrow"/>
                <w:noProof/>
              </w:rPr>
              <w:t>7</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INTERNATIONAL TREATISE / AGREEMENTS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22</w:t>
            </w:r>
            <w:r w:rsidR="004A0F05" w:rsidRPr="00D74068">
              <w:rPr>
                <w:rFonts w:ascii="Arial Narrow" w:hAnsi="Arial Narrow"/>
                <w:noProof/>
                <w:webHidden/>
              </w:rPr>
              <w:fldChar w:fldCharType="end"/>
            </w:r>
          </w:hyperlink>
        </w:p>
        <w:p w14:paraId="611A974D" w14:textId="56395BAB" w:rsidR="004A0F05" w:rsidRPr="00D74068" w:rsidRDefault="00000000">
          <w:pPr>
            <w:pStyle w:val="TOC1"/>
            <w:tabs>
              <w:tab w:val="right" w:leader="dot" w:pos="13948"/>
            </w:tabs>
            <w:rPr>
              <w:rFonts w:ascii="Arial Narrow" w:eastAsiaTheme="minorEastAsia" w:hAnsi="Arial Narrow"/>
              <w:noProof/>
              <w:lang w:eastAsia="en-ZA"/>
            </w:rPr>
          </w:pPr>
          <w:hyperlink w:anchor="_Toc50576918" w:history="1">
            <w:r w:rsidR="004A0F05" w:rsidRPr="00D74068">
              <w:rPr>
                <w:rStyle w:val="Hyperlink"/>
                <w:rFonts w:ascii="Arial Narrow" w:hAnsi="Arial Narrow"/>
                <w:noProof/>
              </w:rPr>
              <w:t>8</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GEYODI EMPOWERMENT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22</w:t>
            </w:r>
            <w:r w:rsidR="004A0F05" w:rsidRPr="00D74068">
              <w:rPr>
                <w:rFonts w:ascii="Arial Narrow" w:hAnsi="Arial Narrow"/>
                <w:noProof/>
                <w:webHidden/>
              </w:rPr>
              <w:fldChar w:fldCharType="end"/>
            </w:r>
          </w:hyperlink>
        </w:p>
        <w:p w14:paraId="542B5451" w14:textId="1D59428D" w:rsidR="004A0F05" w:rsidRPr="00D74068" w:rsidRDefault="00000000">
          <w:pPr>
            <w:pStyle w:val="TOC1"/>
            <w:tabs>
              <w:tab w:val="right" w:leader="dot" w:pos="13948"/>
            </w:tabs>
            <w:rPr>
              <w:rFonts w:ascii="Arial Narrow" w:eastAsiaTheme="minorEastAsia" w:hAnsi="Arial Narrow"/>
              <w:noProof/>
              <w:lang w:eastAsia="en-ZA"/>
            </w:rPr>
          </w:pPr>
          <w:hyperlink w:anchor="_Toc50576919" w:history="1">
            <w:r w:rsidR="004A0F05" w:rsidRPr="00D74068">
              <w:rPr>
                <w:rStyle w:val="Hyperlink"/>
                <w:rFonts w:ascii="Arial Narrow" w:hAnsi="Arial Narrow"/>
                <w:noProof/>
              </w:rPr>
              <w:t>9</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COMPLIANCE WITH FIDUCIARY REQUIREMENTS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22</w:t>
            </w:r>
            <w:r w:rsidR="004A0F05" w:rsidRPr="00D74068">
              <w:rPr>
                <w:rFonts w:ascii="Arial Narrow" w:hAnsi="Arial Narrow"/>
                <w:noProof/>
                <w:webHidden/>
              </w:rPr>
              <w:fldChar w:fldCharType="end"/>
            </w:r>
          </w:hyperlink>
        </w:p>
        <w:p w14:paraId="1D4E7E1F" w14:textId="2DE3163B" w:rsidR="004A0F05" w:rsidRPr="00D74068" w:rsidRDefault="00000000">
          <w:pPr>
            <w:pStyle w:val="TOC1"/>
            <w:tabs>
              <w:tab w:val="right" w:leader="dot" w:pos="13948"/>
            </w:tabs>
            <w:rPr>
              <w:rFonts w:ascii="Arial Narrow" w:eastAsiaTheme="minorEastAsia" w:hAnsi="Arial Narrow"/>
              <w:noProof/>
              <w:lang w:eastAsia="en-ZA"/>
            </w:rPr>
          </w:pPr>
          <w:hyperlink w:anchor="_Toc50576920" w:history="1">
            <w:r w:rsidR="004A0F05" w:rsidRPr="00D74068">
              <w:rPr>
                <w:rStyle w:val="Hyperlink"/>
                <w:rFonts w:ascii="Arial Narrow" w:hAnsi="Arial Narrow"/>
                <w:noProof/>
              </w:rPr>
              <w:t>10</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 CAPACITATED PUBLIC SERVICE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22</w:t>
            </w:r>
            <w:r w:rsidR="004A0F05" w:rsidRPr="00D74068">
              <w:rPr>
                <w:rFonts w:ascii="Arial Narrow" w:hAnsi="Arial Narrow"/>
                <w:noProof/>
                <w:webHidden/>
              </w:rPr>
              <w:fldChar w:fldCharType="end"/>
            </w:r>
          </w:hyperlink>
        </w:p>
        <w:p w14:paraId="674924CE" w14:textId="41087647" w:rsidR="004A0F05" w:rsidRPr="00D74068" w:rsidRDefault="00000000">
          <w:pPr>
            <w:pStyle w:val="TOC1"/>
            <w:tabs>
              <w:tab w:val="right" w:leader="dot" w:pos="13948"/>
            </w:tabs>
            <w:rPr>
              <w:rFonts w:ascii="Arial Narrow" w:eastAsiaTheme="minorEastAsia" w:hAnsi="Arial Narrow"/>
              <w:noProof/>
              <w:lang w:eastAsia="en-ZA"/>
            </w:rPr>
          </w:pPr>
          <w:hyperlink w:anchor="_Toc50576921" w:history="1">
            <w:r w:rsidR="004A0F05" w:rsidRPr="00D74068">
              <w:rPr>
                <w:rStyle w:val="Hyperlink"/>
                <w:rFonts w:ascii="Arial Narrow" w:hAnsi="Arial Narrow"/>
                <w:noProof/>
              </w:rPr>
              <w:t>11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ANY OTHER COMMITTEE FOCUS AREA</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23</w:t>
            </w:r>
            <w:r w:rsidR="004A0F05" w:rsidRPr="00D74068">
              <w:rPr>
                <w:rFonts w:ascii="Arial Narrow" w:hAnsi="Arial Narrow"/>
                <w:noProof/>
                <w:webHidden/>
              </w:rPr>
              <w:fldChar w:fldCharType="end"/>
            </w:r>
          </w:hyperlink>
        </w:p>
        <w:p w14:paraId="7C15DFDA" w14:textId="468E3814" w:rsidR="004A0F05" w:rsidRPr="00D74068" w:rsidRDefault="00000000">
          <w:pPr>
            <w:pStyle w:val="TOC1"/>
            <w:tabs>
              <w:tab w:val="right" w:leader="dot" w:pos="13948"/>
            </w:tabs>
            <w:rPr>
              <w:rFonts w:ascii="Arial Narrow" w:eastAsiaTheme="minorEastAsia" w:hAnsi="Arial Narrow"/>
              <w:noProof/>
              <w:lang w:eastAsia="en-ZA"/>
            </w:rPr>
          </w:pPr>
          <w:hyperlink w:anchor="_Toc50576922" w:history="1">
            <w:r w:rsidR="004A0F05" w:rsidRPr="00D74068">
              <w:rPr>
                <w:rStyle w:val="Hyperlink"/>
                <w:rFonts w:ascii="Arial Narrow" w:hAnsi="Arial Narrow"/>
                <w:noProof/>
              </w:rPr>
              <w:t>12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FINDINGS / CONCERNS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24</w:t>
            </w:r>
            <w:r w:rsidR="004A0F05" w:rsidRPr="00D74068">
              <w:rPr>
                <w:rFonts w:ascii="Arial Narrow" w:hAnsi="Arial Narrow"/>
                <w:noProof/>
                <w:webHidden/>
              </w:rPr>
              <w:fldChar w:fldCharType="end"/>
            </w:r>
          </w:hyperlink>
        </w:p>
        <w:p w14:paraId="6E39B969" w14:textId="758F3B8C" w:rsidR="004A0F05" w:rsidRPr="00D74068" w:rsidRDefault="00000000">
          <w:pPr>
            <w:pStyle w:val="TOC1"/>
            <w:tabs>
              <w:tab w:val="right" w:leader="dot" w:pos="13948"/>
            </w:tabs>
            <w:rPr>
              <w:rFonts w:ascii="Arial Narrow" w:eastAsiaTheme="minorEastAsia" w:hAnsi="Arial Narrow"/>
              <w:noProof/>
              <w:lang w:eastAsia="en-ZA"/>
            </w:rPr>
          </w:pPr>
          <w:hyperlink w:anchor="_Toc50576923" w:history="1">
            <w:r w:rsidR="004A0F05" w:rsidRPr="00D74068">
              <w:rPr>
                <w:rStyle w:val="Hyperlink"/>
                <w:rFonts w:ascii="Arial Narrow" w:hAnsi="Arial Narrow"/>
                <w:noProof/>
              </w:rPr>
              <w:t>13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RECOMMENDATIONS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24</w:t>
            </w:r>
            <w:r w:rsidR="004A0F05" w:rsidRPr="00D74068">
              <w:rPr>
                <w:rFonts w:ascii="Arial Narrow" w:hAnsi="Arial Narrow"/>
                <w:noProof/>
                <w:webHidden/>
              </w:rPr>
              <w:fldChar w:fldCharType="end"/>
            </w:r>
          </w:hyperlink>
        </w:p>
        <w:p w14:paraId="378ADDDE" w14:textId="13A4EE71" w:rsidR="004A0F05" w:rsidRPr="00D74068" w:rsidRDefault="00000000">
          <w:pPr>
            <w:pStyle w:val="TOC1"/>
            <w:tabs>
              <w:tab w:val="right" w:leader="dot" w:pos="13948"/>
            </w:tabs>
            <w:rPr>
              <w:rFonts w:ascii="Arial Narrow" w:eastAsiaTheme="minorEastAsia" w:hAnsi="Arial Narrow"/>
              <w:noProof/>
              <w:lang w:eastAsia="en-ZA"/>
            </w:rPr>
          </w:pPr>
          <w:hyperlink w:anchor="_Toc50576924" w:history="1">
            <w:r w:rsidR="004A0F05" w:rsidRPr="00D74068">
              <w:rPr>
                <w:rStyle w:val="Hyperlink"/>
                <w:rFonts w:ascii="Arial Narrow" w:hAnsi="Arial Narrow"/>
                <w:noProof/>
              </w:rPr>
              <w:t>14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ACKNOWLEDGEMENTS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25</w:t>
            </w:r>
            <w:r w:rsidR="004A0F05" w:rsidRPr="00D74068">
              <w:rPr>
                <w:rFonts w:ascii="Arial Narrow" w:hAnsi="Arial Narrow"/>
                <w:noProof/>
                <w:webHidden/>
              </w:rPr>
              <w:fldChar w:fldCharType="end"/>
            </w:r>
          </w:hyperlink>
        </w:p>
        <w:p w14:paraId="656E56B4" w14:textId="1CC1293E" w:rsidR="004A0F05" w:rsidRPr="00D74068" w:rsidRDefault="00000000">
          <w:pPr>
            <w:pStyle w:val="TOC1"/>
            <w:tabs>
              <w:tab w:val="right" w:leader="dot" w:pos="13948"/>
            </w:tabs>
            <w:rPr>
              <w:rFonts w:ascii="Arial Narrow" w:eastAsiaTheme="minorEastAsia" w:hAnsi="Arial Narrow"/>
              <w:noProof/>
              <w:lang w:eastAsia="en-ZA"/>
            </w:rPr>
          </w:pPr>
          <w:hyperlink w:anchor="_Toc50576925" w:history="1">
            <w:r w:rsidR="004A0F05" w:rsidRPr="00D74068">
              <w:rPr>
                <w:rStyle w:val="Hyperlink"/>
                <w:rFonts w:ascii="Arial Narrow" w:hAnsi="Arial Narrow"/>
                <w:noProof/>
              </w:rPr>
              <w:t>15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ADOPTION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E640B9">
              <w:rPr>
                <w:rFonts w:ascii="Arial Narrow" w:hAnsi="Arial Narrow"/>
                <w:noProof/>
                <w:webHidden/>
              </w:rPr>
              <w:t>25</w:t>
            </w:r>
            <w:r w:rsidR="004A0F05" w:rsidRPr="00D74068">
              <w:rPr>
                <w:rFonts w:ascii="Arial Narrow" w:hAnsi="Arial Narrow"/>
                <w:noProof/>
                <w:webHidden/>
              </w:rPr>
              <w:fldChar w:fldCharType="end"/>
            </w:r>
          </w:hyperlink>
        </w:p>
        <w:p w14:paraId="00FFE1CE" w14:textId="0505790A" w:rsidR="00ED70F4" w:rsidRPr="00527ABA" w:rsidRDefault="00D754DB" w:rsidP="00527ABA">
          <w:pPr>
            <w:rPr>
              <w:rFonts w:ascii="Arial Narrow" w:hAnsi="Arial Narrow"/>
            </w:rPr>
          </w:pPr>
          <w:r w:rsidRPr="00D74068">
            <w:rPr>
              <w:rFonts w:ascii="Arial Narrow" w:hAnsi="Arial Narrow"/>
              <w:b/>
              <w:bCs/>
              <w:noProof/>
            </w:rPr>
            <w:fldChar w:fldCharType="end"/>
          </w:r>
        </w:p>
      </w:sdtContent>
    </w:sdt>
    <w:p w14:paraId="73864F89" w14:textId="39BF56BB" w:rsidR="004B7663" w:rsidRPr="00D74068" w:rsidRDefault="009A46D6"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1" w:name="_Toc50576907"/>
      <w:r w:rsidRPr="00D74068">
        <w:rPr>
          <w:rFonts w:ascii="Arial Narrow" w:hAnsi="Arial Narrow"/>
          <w:color w:val="auto"/>
          <w:sz w:val="22"/>
          <w:szCs w:val="22"/>
        </w:rPr>
        <w:t>ABBREVIATIONS</w:t>
      </w:r>
      <w:bookmarkEnd w:id="1"/>
    </w:p>
    <w:p w14:paraId="02A63859" w14:textId="77777777" w:rsidR="004B7663" w:rsidRPr="00D74068"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2D57E0" w:rsidRPr="00D74068" w14:paraId="69410F55" w14:textId="77777777" w:rsidTr="00F852C4">
        <w:tc>
          <w:tcPr>
            <w:tcW w:w="3080" w:type="dxa"/>
            <w:shd w:val="clear" w:color="auto" w:fill="FFFFFF" w:themeFill="background1"/>
          </w:tcPr>
          <w:p w14:paraId="3E265B72" w14:textId="266B077B" w:rsidR="002D57E0" w:rsidRPr="00D74068" w:rsidRDefault="002D57E0" w:rsidP="00AF0E97">
            <w:pPr>
              <w:jc w:val="left"/>
              <w:rPr>
                <w:rFonts w:ascii="Arial Narrow" w:hAnsi="Arial Narrow" w:cs="Arial Narrow"/>
                <w:bCs/>
              </w:rPr>
            </w:pPr>
            <w:r>
              <w:rPr>
                <w:rFonts w:ascii="Arial Narrow" w:hAnsi="Arial Narrow" w:cs="Arial Narrow"/>
                <w:bCs/>
              </w:rPr>
              <w:t>AEL</w:t>
            </w:r>
          </w:p>
        </w:tc>
        <w:tc>
          <w:tcPr>
            <w:tcW w:w="10949" w:type="dxa"/>
            <w:shd w:val="clear" w:color="auto" w:fill="FFFFFF" w:themeFill="background1"/>
          </w:tcPr>
          <w:p w14:paraId="608F01B3" w14:textId="048843B8" w:rsidR="002D57E0" w:rsidRPr="00D74068" w:rsidRDefault="002D57E0" w:rsidP="00AF0E97">
            <w:pPr>
              <w:jc w:val="left"/>
              <w:rPr>
                <w:rFonts w:ascii="Arial Narrow" w:hAnsi="Arial Narrow" w:cs="Arial Narrow"/>
                <w:bCs/>
              </w:rPr>
            </w:pPr>
            <w:r w:rsidRPr="002D57E0">
              <w:rPr>
                <w:rFonts w:ascii="Arial Narrow" w:hAnsi="Arial Narrow" w:cs="Arial Narrow"/>
                <w:bCs/>
              </w:rPr>
              <w:t xml:space="preserve">Atmospheric Emission License </w:t>
            </w:r>
          </w:p>
        </w:tc>
      </w:tr>
      <w:tr w:rsidR="00F852C4" w:rsidRPr="00D74068" w14:paraId="0C07D113" w14:textId="77777777" w:rsidTr="00F852C4">
        <w:tc>
          <w:tcPr>
            <w:tcW w:w="3080" w:type="dxa"/>
            <w:shd w:val="clear" w:color="auto" w:fill="FFFFFF" w:themeFill="background1"/>
          </w:tcPr>
          <w:p w14:paraId="1C81AE0C"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APP</w:t>
            </w:r>
          </w:p>
        </w:tc>
        <w:tc>
          <w:tcPr>
            <w:tcW w:w="10949" w:type="dxa"/>
            <w:shd w:val="clear" w:color="auto" w:fill="FFFFFF" w:themeFill="background1"/>
          </w:tcPr>
          <w:p w14:paraId="35FED395"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Annual Performance Plan</w:t>
            </w:r>
          </w:p>
        </w:tc>
      </w:tr>
      <w:tr w:rsidR="00226975" w:rsidRPr="00D74068" w14:paraId="251256C3" w14:textId="77777777" w:rsidTr="00F852C4">
        <w:tc>
          <w:tcPr>
            <w:tcW w:w="3080" w:type="dxa"/>
            <w:shd w:val="clear" w:color="auto" w:fill="FFFFFF" w:themeFill="background1"/>
          </w:tcPr>
          <w:p w14:paraId="1A99996A" w14:textId="29D4AF7D" w:rsidR="00226975" w:rsidRPr="00D74068" w:rsidRDefault="00226975" w:rsidP="00AF0E97">
            <w:pPr>
              <w:jc w:val="left"/>
              <w:rPr>
                <w:rFonts w:ascii="Arial Narrow" w:hAnsi="Arial Narrow" w:cs="Arial Narrow"/>
                <w:bCs/>
              </w:rPr>
            </w:pPr>
            <w:r>
              <w:rPr>
                <w:rFonts w:ascii="Arial Narrow" w:hAnsi="Arial Narrow" w:cs="Arial Narrow"/>
                <w:bCs/>
              </w:rPr>
              <w:t>DBSA</w:t>
            </w:r>
          </w:p>
        </w:tc>
        <w:tc>
          <w:tcPr>
            <w:tcW w:w="10949" w:type="dxa"/>
            <w:shd w:val="clear" w:color="auto" w:fill="FFFFFF" w:themeFill="background1"/>
          </w:tcPr>
          <w:p w14:paraId="119F3DCB" w14:textId="7D7C5FC6" w:rsidR="00226975" w:rsidRPr="00D74068" w:rsidRDefault="00226975" w:rsidP="00AF0E97">
            <w:pPr>
              <w:jc w:val="left"/>
              <w:rPr>
                <w:rFonts w:ascii="Arial Narrow" w:hAnsi="Arial Narrow" w:cs="Arial Narrow"/>
                <w:bCs/>
              </w:rPr>
            </w:pPr>
            <w:r w:rsidRPr="00226975">
              <w:rPr>
                <w:rFonts w:ascii="Arial Narrow" w:hAnsi="Arial Narrow" w:cs="Arial Narrow"/>
                <w:bCs/>
                <w:lang w:val="en-GB"/>
              </w:rPr>
              <w:t>Development Bank of South Africa</w:t>
            </w:r>
          </w:p>
        </w:tc>
      </w:tr>
      <w:tr w:rsidR="00837830" w:rsidRPr="00D74068" w14:paraId="6E940CB6" w14:textId="77777777" w:rsidTr="00F852C4">
        <w:tc>
          <w:tcPr>
            <w:tcW w:w="3080" w:type="dxa"/>
            <w:shd w:val="clear" w:color="auto" w:fill="FFFFFF" w:themeFill="background1"/>
          </w:tcPr>
          <w:p w14:paraId="3EFB6D78" w14:textId="1615C680" w:rsidR="00837830" w:rsidRPr="00D74068" w:rsidRDefault="00837830" w:rsidP="00AF0E97">
            <w:pPr>
              <w:jc w:val="left"/>
              <w:rPr>
                <w:rFonts w:ascii="Arial Narrow" w:hAnsi="Arial Narrow" w:cs="Arial Narrow"/>
                <w:bCs/>
              </w:rPr>
            </w:pPr>
            <w:r w:rsidRPr="00D74068">
              <w:rPr>
                <w:rFonts w:ascii="Arial Narrow" w:hAnsi="Arial Narrow" w:cs="Arial Narrow"/>
                <w:bCs/>
              </w:rPr>
              <w:t>GEYODI</w:t>
            </w:r>
          </w:p>
        </w:tc>
        <w:tc>
          <w:tcPr>
            <w:tcW w:w="10949" w:type="dxa"/>
            <w:shd w:val="clear" w:color="auto" w:fill="FFFFFF" w:themeFill="background1"/>
          </w:tcPr>
          <w:p w14:paraId="4EA36CDC" w14:textId="1828FF27" w:rsidR="00837830" w:rsidRPr="00D74068" w:rsidRDefault="00837830" w:rsidP="00AF0E97">
            <w:pPr>
              <w:jc w:val="left"/>
              <w:rPr>
                <w:rFonts w:ascii="Arial Narrow" w:hAnsi="Arial Narrow" w:cs="Arial Narrow"/>
                <w:bCs/>
              </w:rPr>
            </w:pPr>
            <w:r w:rsidRPr="00D74068">
              <w:rPr>
                <w:rFonts w:ascii="Arial Narrow" w:hAnsi="Arial Narrow" w:cs="Arial Narrow"/>
                <w:bCs/>
              </w:rPr>
              <w:t>Gender, Youth, Persons living with Disabilities</w:t>
            </w:r>
          </w:p>
        </w:tc>
      </w:tr>
      <w:tr w:rsidR="00410698" w:rsidRPr="00D74068" w14:paraId="20BDBE24" w14:textId="77777777" w:rsidTr="00F852C4">
        <w:tc>
          <w:tcPr>
            <w:tcW w:w="3080" w:type="dxa"/>
            <w:shd w:val="clear" w:color="auto" w:fill="FFFFFF" w:themeFill="background1"/>
          </w:tcPr>
          <w:p w14:paraId="1EC45966" w14:textId="7BCF9836" w:rsidR="00410698" w:rsidRPr="00D74068" w:rsidRDefault="00410698" w:rsidP="00AF0E97">
            <w:pPr>
              <w:jc w:val="left"/>
              <w:rPr>
                <w:rFonts w:ascii="Arial Narrow" w:hAnsi="Arial Narrow" w:cs="Arial Narrow"/>
                <w:bCs/>
              </w:rPr>
            </w:pPr>
            <w:r>
              <w:rPr>
                <w:rFonts w:ascii="Arial Narrow" w:hAnsi="Arial Narrow" w:cs="Arial Narrow"/>
                <w:bCs/>
              </w:rPr>
              <w:t>GPEMF</w:t>
            </w:r>
          </w:p>
        </w:tc>
        <w:tc>
          <w:tcPr>
            <w:tcW w:w="10949" w:type="dxa"/>
            <w:shd w:val="clear" w:color="auto" w:fill="FFFFFF" w:themeFill="background1"/>
          </w:tcPr>
          <w:p w14:paraId="6DA652A7" w14:textId="5CCAE40D" w:rsidR="00410698" w:rsidRPr="00D74068" w:rsidRDefault="00410698" w:rsidP="00AF0E97">
            <w:pPr>
              <w:jc w:val="left"/>
              <w:rPr>
                <w:rFonts w:ascii="Arial Narrow" w:hAnsi="Arial Narrow" w:cs="Arial Narrow"/>
                <w:bCs/>
              </w:rPr>
            </w:pPr>
            <w:r w:rsidRPr="00410698">
              <w:rPr>
                <w:rFonts w:ascii="Arial Narrow" w:hAnsi="Arial Narrow" w:cs="Arial Narrow"/>
                <w:bCs/>
              </w:rPr>
              <w:t>Gauteng Provincial Environmental Management Framework</w:t>
            </w:r>
          </w:p>
        </w:tc>
      </w:tr>
      <w:tr w:rsidR="00837830" w:rsidRPr="00D74068" w14:paraId="4BB9FBBB" w14:textId="77777777" w:rsidTr="00F852C4">
        <w:tc>
          <w:tcPr>
            <w:tcW w:w="3080" w:type="dxa"/>
            <w:shd w:val="clear" w:color="auto" w:fill="FFFFFF" w:themeFill="background1"/>
          </w:tcPr>
          <w:p w14:paraId="6E28B53C" w14:textId="332C5BCD" w:rsidR="00837830" w:rsidRPr="00D74068" w:rsidRDefault="00837830" w:rsidP="00AF0E97">
            <w:pPr>
              <w:jc w:val="left"/>
              <w:rPr>
                <w:rFonts w:ascii="Arial Narrow" w:hAnsi="Arial Narrow" w:cs="Arial Narrow"/>
                <w:bCs/>
              </w:rPr>
            </w:pPr>
            <w:r w:rsidRPr="00D74068">
              <w:rPr>
                <w:rFonts w:ascii="Arial Narrow" w:hAnsi="Arial Narrow" w:cs="Arial Narrow"/>
                <w:bCs/>
              </w:rPr>
              <w:t>GGT-2030</w:t>
            </w:r>
          </w:p>
        </w:tc>
        <w:tc>
          <w:tcPr>
            <w:tcW w:w="10949" w:type="dxa"/>
            <w:shd w:val="clear" w:color="auto" w:fill="FFFFFF" w:themeFill="background1"/>
          </w:tcPr>
          <w:p w14:paraId="2ABDBAF4" w14:textId="0F9CE111" w:rsidR="00837830" w:rsidRPr="00D74068" w:rsidRDefault="00837830" w:rsidP="00AF0E97">
            <w:pPr>
              <w:jc w:val="left"/>
              <w:rPr>
                <w:rFonts w:ascii="Arial Narrow" w:hAnsi="Arial Narrow" w:cs="Arial Narrow"/>
                <w:bCs/>
              </w:rPr>
            </w:pPr>
            <w:r w:rsidRPr="00D74068">
              <w:rPr>
                <w:rFonts w:ascii="Arial Narrow" w:hAnsi="Arial Narrow" w:cs="Arial Narrow"/>
                <w:bCs/>
              </w:rPr>
              <w:t>Growing Gauteng Together</w:t>
            </w:r>
            <w:r w:rsidR="001F644C" w:rsidRPr="00D74068">
              <w:rPr>
                <w:rFonts w:ascii="Arial Narrow" w:hAnsi="Arial Narrow" w:cs="Arial Narrow"/>
                <w:bCs/>
              </w:rPr>
              <w:t xml:space="preserve"> – Our Vision 2030</w:t>
            </w:r>
          </w:p>
        </w:tc>
      </w:tr>
      <w:tr w:rsidR="00837830" w:rsidRPr="00D74068" w14:paraId="00C3824D" w14:textId="77777777" w:rsidTr="00F852C4">
        <w:tc>
          <w:tcPr>
            <w:tcW w:w="3080" w:type="dxa"/>
            <w:shd w:val="clear" w:color="auto" w:fill="FFFFFF" w:themeFill="background1"/>
          </w:tcPr>
          <w:p w14:paraId="6C0C570D" w14:textId="17D78AEF" w:rsidR="00837830" w:rsidRPr="00D74068" w:rsidRDefault="00837830" w:rsidP="00AF0E97">
            <w:pPr>
              <w:jc w:val="left"/>
              <w:rPr>
                <w:rFonts w:ascii="Arial Narrow" w:hAnsi="Arial Narrow" w:cs="Arial Narrow"/>
                <w:bCs/>
              </w:rPr>
            </w:pPr>
            <w:r w:rsidRPr="00D74068">
              <w:rPr>
                <w:rFonts w:ascii="Arial Narrow" w:hAnsi="Arial Narrow" w:cs="Arial Narrow"/>
                <w:bCs/>
              </w:rPr>
              <w:t>GPL</w:t>
            </w:r>
          </w:p>
        </w:tc>
        <w:tc>
          <w:tcPr>
            <w:tcW w:w="10949" w:type="dxa"/>
            <w:shd w:val="clear" w:color="auto" w:fill="FFFFFF" w:themeFill="background1"/>
          </w:tcPr>
          <w:p w14:paraId="3074829D" w14:textId="6FCAB6A6" w:rsidR="00837830" w:rsidRPr="00D74068" w:rsidRDefault="00837830" w:rsidP="00AF0E97">
            <w:pPr>
              <w:jc w:val="left"/>
              <w:rPr>
                <w:rFonts w:ascii="Arial Narrow" w:hAnsi="Arial Narrow" w:cs="Arial Narrow"/>
                <w:bCs/>
              </w:rPr>
            </w:pPr>
            <w:r w:rsidRPr="00D74068">
              <w:rPr>
                <w:rFonts w:ascii="Arial Narrow" w:hAnsi="Arial Narrow" w:cs="Arial Narrow"/>
                <w:bCs/>
              </w:rPr>
              <w:t>Gauteng Provincial Legislature</w:t>
            </w:r>
          </w:p>
        </w:tc>
      </w:tr>
      <w:tr w:rsidR="00410698" w:rsidRPr="00D74068" w14:paraId="2866E813" w14:textId="77777777" w:rsidTr="00F852C4">
        <w:tc>
          <w:tcPr>
            <w:tcW w:w="3080" w:type="dxa"/>
            <w:shd w:val="clear" w:color="auto" w:fill="FFFFFF" w:themeFill="background1"/>
          </w:tcPr>
          <w:p w14:paraId="23C3C1FF" w14:textId="532C2B9D" w:rsidR="00410698" w:rsidRPr="00D74068" w:rsidRDefault="00410698" w:rsidP="00AF0E97">
            <w:pPr>
              <w:jc w:val="left"/>
              <w:rPr>
                <w:rFonts w:ascii="Arial Narrow" w:hAnsi="Arial Narrow" w:cs="Arial Narrow"/>
                <w:bCs/>
              </w:rPr>
            </w:pPr>
            <w:r>
              <w:rPr>
                <w:rFonts w:ascii="Arial Narrow" w:hAnsi="Arial Narrow" w:cs="Arial Narrow"/>
                <w:bCs/>
              </w:rPr>
              <w:t>GWIS</w:t>
            </w:r>
          </w:p>
        </w:tc>
        <w:tc>
          <w:tcPr>
            <w:tcW w:w="10949" w:type="dxa"/>
            <w:shd w:val="clear" w:color="auto" w:fill="FFFFFF" w:themeFill="background1"/>
          </w:tcPr>
          <w:p w14:paraId="27F62144" w14:textId="4017EE67" w:rsidR="00410698" w:rsidRPr="00D74068" w:rsidRDefault="00410698" w:rsidP="00AF0E97">
            <w:pPr>
              <w:jc w:val="left"/>
              <w:rPr>
                <w:rFonts w:ascii="Arial Narrow" w:hAnsi="Arial Narrow" w:cs="Arial Narrow"/>
                <w:bCs/>
              </w:rPr>
            </w:pPr>
            <w:r w:rsidRPr="00410698">
              <w:rPr>
                <w:rFonts w:ascii="Arial Narrow" w:hAnsi="Arial Narrow" w:cs="Arial Narrow"/>
                <w:bCs/>
              </w:rPr>
              <w:t xml:space="preserve">Gauteng Waste Information System </w:t>
            </w:r>
          </w:p>
        </w:tc>
      </w:tr>
      <w:tr w:rsidR="009A46D6" w:rsidRPr="00D74068" w14:paraId="2D9DD9E7" w14:textId="77777777" w:rsidTr="00D754DB">
        <w:tc>
          <w:tcPr>
            <w:tcW w:w="3080" w:type="dxa"/>
          </w:tcPr>
          <w:p w14:paraId="22EC867E"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SOM</w:t>
            </w:r>
          </w:p>
        </w:tc>
        <w:tc>
          <w:tcPr>
            <w:tcW w:w="10949" w:type="dxa"/>
          </w:tcPr>
          <w:p w14:paraId="66F05947"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Sector Oversight Model</w:t>
            </w:r>
          </w:p>
        </w:tc>
      </w:tr>
      <w:tr w:rsidR="00F852C4" w:rsidRPr="00D74068" w14:paraId="7A414C6E" w14:textId="77777777" w:rsidTr="00D754DB">
        <w:tc>
          <w:tcPr>
            <w:tcW w:w="3080" w:type="dxa"/>
          </w:tcPr>
          <w:p w14:paraId="1BBD35FB"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MTSF</w:t>
            </w:r>
          </w:p>
        </w:tc>
        <w:tc>
          <w:tcPr>
            <w:tcW w:w="10949" w:type="dxa"/>
          </w:tcPr>
          <w:p w14:paraId="44CCA777" w14:textId="63015A76" w:rsidR="00F852C4" w:rsidRPr="00D74068" w:rsidRDefault="00F852C4" w:rsidP="00AF0E97">
            <w:pPr>
              <w:jc w:val="left"/>
              <w:rPr>
                <w:rFonts w:ascii="Arial Narrow" w:hAnsi="Arial Narrow" w:cs="Arial Narrow"/>
                <w:bCs/>
              </w:rPr>
            </w:pPr>
            <w:r w:rsidRPr="00D74068">
              <w:rPr>
                <w:rFonts w:ascii="Arial Narrow" w:hAnsi="Arial Narrow" w:cs="Arial Narrow"/>
                <w:bCs/>
              </w:rPr>
              <w:t>Medium Term Strategic Framework (in this case, relating to 201</w:t>
            </w:r>
            <w:r w:rsidR="00837830" w:rsidRPr="00D74068">
              <w:rPr>
                <w:rFonts w:ascii="Arial Narrow" w:hAnsi="Arial Narrow" w:cs="Arial Narrow"/>
                <w:bCs/>
              </w:rPr>
              <w:t>9</w:t>
            </w:r>
            <w:r w:rsidRPr="00D74068">
              <w:rPr>
                <w:rFonts w:ascii="Arial Narrow" w:hAnsi="Arial Narrow" w:cs="Arial Narrow"/>
                <w:bCs/>
              </w:rPr>
              <w:t>-20</w:t>
            </w:r>
            <w:r w:rsidR="00837830" w:rsidRPr="00D74068">
              <w:rPr>
                <w:rFonts w:ascii="Arial Narrow" w:hAnsi="Arial Narrow" w:cs="Arial Narrow"/>
                <w:bCs/>
              </w:rPr>
              <w:t>24</w:t>
            </w:r>
            <w:r w:rsidRPr="00D74068">
              <w:rPr>
                <w:rFonts w:ascii="Arial Narrow" w:hAnsi="Arial Narrow" w:cs="Arial Narrow"/>
                <w:bCs/>
              </w:rPr>
              <w:t xml:space="preserve"> Term of Office)</w:t>
            </w:r>
          </w:p>
        </w:tc>
      </w:tr>
      <w:tr w:rsidR="009A46D6" w:rsidRPr="00D74068" w14:paraId="0467090D" w14:textId="77777777" w:rsidTr="00D754DB">
        <w:tc>
          <w:tcPr>
            <w:tcW w:w="3080" w:type="dxa"/>
          </w:tcPr>
          <w:p w14:paraId="361E0DC0"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NDP</w:t>
            </w:r>
          </w:p>
        </w:tc>
        <w:tc>
          <w:tcPr>
            <w:tcW w:w="10949" w:type="dxa"/>
          </w:tcPr>
          <w:p w14:paraId="3A0246E8"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National Development Plan</w:t>
            </w:r>
          </w:p>
        </w:tc>
      </w:tr>
      <w:tr w:rsidR="009A46D6" w:rsidRPr="00D74068" w14:paraId="57FCD7E4" w14:textId="77777777" w:rsidTr="00D754DB">
        <w:tc>
          <w:tcPr>
            <w:tcW w:w="3080" w:type="dxa"/>
          </w:tcPr>
          <w:p w14:paraId="7FD2F83B"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PGDP</w:t>
            </w:r>
          </w:p>
        </w:tc>
        <w:tc>
          <w:tcPr>
            <w:tcW w:w="10949" w:type="dxa"/>
          </w:tcPr>
          <w:p w14:paraId="5B89FEB2"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Provincial Growth and Development Plan</w:t>
            </w:r>
          </w:p>
        </w:tc>
      </w:tr>
      <w:tr w:rsidR="00D536BE" w:rsidRPr="00D74068" w14:paraId="166D13FA" w14:textId="77777777" w:rsidTr="00D754DB">
        <w:tc>
          <w:tcPr>
            <w:tcW w:w="3080" w:type="dxa"/>
          </w:tcPr>
          <w:p w14:paraId="471E4A52" w14:textId="1677C770" w:rsidR="00D536BE" w:rsidRPr="00D74068" w:rsidRDefault="002D57E0" w:rsidP="00AF0E97">
            <w:pPr>
              <w:jc w:val="left"/>
              <w:rPr>
                <w:rFonts w:ascii="Arial Narrow" w:hAnsi="Arial Narrow" w:cs="Arial Narrow"/>
                <w:bCs/>
              </w:rPr>
            </w:pPr>
            <w:r>
              <w:rPr>
                <w:rFonts w:ascii="Arial Narrow" w:hAnsi="Arial Narrow" w:cs="Arial Narrow"/>
                <w:bCs/>
              </w:rPr>
              <w:t>POE</w:t>
            </w:r>
          </w:p>
        </w:tc>
        <w:tc>
          <w:tcPr>
            <w:tcW w:w="10949" w:type="dxa"/>
          </w:tcPr>
          <w:p w14:paraId="7015FBE3" w14:textId="0C1AC3A1" w:rsidR="00D536BE" w:rsidRPr="00D74068" w:rsidRDefault="00D536BE" w:rsidP="00AF0E97">
            <w:pPr>
              <w:jc w:val="left"/>
              <w:rPr>
                <w:rFonts w:ascii="Arial Narrow" w:hAnsi="Arial Narrow" w:cs="Arial Narrow"/>
                <w:bCs/>
              </w:rPr>
            </w:pPr>
            <w:r w:rsidRPr="00D536BE">
              <w:rPr>
                <w:rFonts w:ascii="Arial Narrow" w:hAnsi="Arial Narrow" w:cs="Arial Narrow"/>
                <w:bCs/>
                <w:iCs/>
                <w:lang w:val="en-US"/>
              </w:rPr>
              <w:t xml:space="preserve">Portfolios of Evidence </w:t>
            </w:r>
          </w:p>
        </w:tc>
      </w:tr>
      <w:tr w:rsidR="00D754DB" w:rsidRPr="00D74068" w14:paraId="1D84A0F1" w14:textId="77777777" w:rsidTr="00D754DB">
        <w:tc>
          <w:tcPr>
            <w:tcW w:w="3080" w:type="dxa"/>
          </w:tcPr>
          <w:p w14:paraId="19F32EE1" w14:textId="77777777" w:rsidR="00D754DB" w:rsidRPr="00D74068" w:rsidRDefault="00D754DB" w:rsidP="00AF0E97">
            <w:pPr>
              <w:jc w:val="left"/>
              <w:rPr>
                <w:rFonts w:ascii="Arial Narrow" w:hAnsi="Arial Narrow" w:cs="Arial Narrow"/>
                <w:bCs/>
              </w:rPr>
            </w:pPr>
            <w:proofErr w:type="spellStart"/>
            <w:r w:rsidRPr="00D74068">
              <w:rPr>
                <w:rFonts w:ascii="Arial Narrow" w:hAnsi="Arial Narrow" w:cs="Arial Narrow"/>
                <w:bCs/>
              </w:rPr>
              <w:t>PwDs</w:t>
            </w:r>
            <w:proofErr w:type="spellEnd"/>
          </w:p>
        </w:tc>
        <w:tc>
          <w:tcPr>
            <w:tcW w:w="10949" w:type="dxa"/>
          </w:tcPr>
          <w:p w14:paraId="215A3A8B" w14:textId="77777777" w:rsidR="00D754DB" w:rsidRPr="00D74068" w:rsidRDefault="00D754DB" w:rsidP="00AF0E97">
            <w:pPr>
              <w:jc w:val="left"/>
              <w:rPr>
                <w:rFonts w:ascii="Arial Narrow" w:hAnsi="Arial Narrow" w:cs="Arial Narrow"/>
                <w:bCs/>
              </w:rPr>
            </w:pPr>
            <w:r w:rsidRPr="00D74068">
              <w:rPr>
                <w:rFonts w:ascii="Arial Narrow" w:hAnsi="Arial Narrow" w:cs="Arial Narrow"/>
                <w:bCs/>
              </w:rPr>
              <w:t>Persons living with Disabilities</w:t>
            </w:r>
          </w:p>
        </w:tc>
      </w:tr>
      <w:tr w:rsidR="008830AE" w:rsidRPr="00D74068" w14:paraId="4902E852" w14:textId="77777777" w:rsidTr="00D754DB">
        <w:tc>
          <w:tcPr>
            <w:tcW w:w="3080" w:type="dxa"/>
          </w:tcPr>
          <w:p w14:paraId="041F0B1B"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RISDP</w:t>
            </w:r>
          </w:p>
        </w:tc>
        <w:tc>
          <w:tcPr>
            <w:tcW w:w="10949" w:type="dxa"/>
          </w:tcPr>
          <w:p w14:paraId="35F9BE36"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Regional Indicative Strategic Development Plan</w:t>
            </w:r>
          </w:p>
        </w:tc>
      </w:tr>
      <w:tr w:rsidR="008830AE" w:rsidRPr="00D74068" w14:paraId="6BC72FED" w14:textId="77777777" w:rsidTr="00D754DB">
        <w:tc>
          <w:tcPr>
            <w:tcW w:w="3080" w:type="dxa"/>
          </w:tcPr>
          <w:p w14:paraId="0F976F4E"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SDGs</w:t>
            </w:r>
          </w:p>
        </w:tc>
        <w:tc>
          <w:tcPr>
            <w:tcW w:w="10949" w:type="dxa"/>
          </w:tcPr>
          <w:p w14:paraId="3F95AAD3"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Sustainable Development Goals</w:t>
            </w:r>
          </w:p>
        </w:tc>
      </w:tr>
      <w:tr w:rsidR="002D57E0" w:rsidRPr="00D74068" w14:paraId="13CDD61F" w14:textId="77777777" w:rsidTr="00D754DB">
        <w:tc>
          <w:tcPr>
            <w:tcW w:w="3080" w:type="dxa"/>
          </w:tcPr>
          <w:p w14:paraId="45B1E394" w14:textId="17F7B12E" w:rsidR="002D57E0" w:rsidRPr="00D74068" w:rsidRDefault="002D57E0" w:rsidP="00AF0E97">
            <w:pPr>
              <w:jc w:val="left"/>
              <w:rPr>
                <w:rFonts w:ascii="Arial Narrow" w:hAnsi="Arial Narrow" w:cs="Arial Narrow"/>
                <w:bCs/>
              </w:rPr>
            </w:pPr>
            <w:r>
              <w:rPr>
                <w:rFonts w:ascii="Arial Narrow" w:hAnsi="Arial Narrow" w:cs="Arial Narrow"/>
                <w:bCs/>
              </w:rPr>
              <w:t>TER</w:t>
            </w:r>
          </w:p>
        </w:tc>
        <w:tc>
          <w:tcPr>
            <w:tcW w:w="10949" w:type="dxa"/>
          </w:tcPr>
          <w:p w14:paraId="54747C35" w14:textId="7AB97314" w:rsidR="002D57E0" w:rsidRPr="00D74068" w:rsidRDefault="002D57E0" w:rsidP="00AF0E97">
            <w:pPr>
              <w:jc w:val="left"/>
              <w:rPr>
                <w:rFonts w:ascii="Arial Narrow" w:hAnsi="Arial Narrow" w:cs="Arial Narrow"/>
                <w:bCs/>
              </w:rPr>
            </w:pPr>
            <w:r w:rsidRPr="002D57E0">
              <w:rPr>
                <w:rFonts w:ascii="Arial Narrow" w:hAnsi="Arial Narrow" w:cs="Arial Narrow"/>
                <w:bCs/>
              </w:rPr>
              <w:t xml:space="preserve">Township Economy Revitalisation </w:t>
            </w:r>
          </w:p>
        </w:tc>
      </w:tr>
    </w:tbl>
    <w:p w14:paraId="565F1A0C" w14:textId="4A721A90" w:rsidR="004B7663" w:rsidRPr="00D74068" w:rsidRDefault="00CE5E34"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r w:rsidRPr="00D74068">
        <w:rPr>
          <w:rFonts w:ascii="Arial Narrow" w:hAnsi="Arial Narrow"/>
        </w:rPr>
        <w:br w:type="page"/>
      </w:r>
      <w:bookmarkStart w:id="2" w:name="_Toc50576908"/>
      <w:r w:rsidR="009A46D6" w:rsidRPr="00D74068">
        <w:rPr>
          <w:rFonts w:ascii="Arial Narrow" w:hAnsi="Arial Narrow"/>
          <w:color w:val="auto"/>
          <w:sz w:val="22"/>
          <w:szCs w:val="22"/>
        </w:rPr>
        <w:t>SUMMARY</w:t>
      </w:r>
      <w:bookmarkEnd w:id="2"/>
    </w:p>
    <w:p w14:paraId="1977204B" w14:textId="77777777" w:rsidR="00F9671F" w:rsidRPr="00D74068"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D74068" w14:paraId="74F552DA" w14:textId="77777777" w:rsidTr="00035362">
        <w:trPr>
          <w:tblHeader/>
        </w:trPr>
        <w:tc>
          <w:tcPr>
            <w:tcW w:w="5000" w:type="pct"/>
            <w:shd w:val="clear" w:color="auto" w:fill="D6E3BC" w:themeFill="accent3" w:themeFillTint="66"/>
          </w:tcPr>
          <w:p w14:paraId="14E5AEE3" w14:textId="0C51FC67" w:rsidR="006E1F6C" w:rsidRPr="00D74068" w:rsidRDefault="00C918E0" w:rsidP="00AF0E97">
            <w:pPr>
              <w:jc w:val="left"/>
              <w:rPr>
                <w:rFonts w:ascii="Arial Narrow" w:hAnsi="Arial Narrow" w:cs="Arial Narrow"/>
                <w:b/>
              </w:rPr>
            </w:pPr>
            <w:r w:rsidRPr="00D74068">
              <w:rPr>
                <w:rFonts w:ascii="Arial Narrow" w:hAnsi="Arial Narrow" w:cs="Arial Narrow"/>
                <w:b/>
              </w:rPr>
              <w:t>ii. [</w:t>
            </w:r>
            <w:r w:rsidR="006E1F6C" w:rsidRPr="00D74068">
              <w:rPr>
                <w:rFonts w:ascii="Arial Narrow" w:hAnsi="Arial Narrow" w:cs="Arial Narrow"/>
                <w:b/>
              </w:rPr>
              <w:t>Summary</w:t>
            </w:r>
            <w:r w:rsidR="00763562" w:rsidRPr="00D74068">
              <w:rPr>
                <w:rFonts w:ascii="Arial Narrow" w:hAnsi="Arial Narrow" w:cs="Arial Narrow"/>
                <w:b/>
              </w:rPr>
              <w:t xml:space="preserve"> of the report</w:t>
            </w:r>
            <w:r w:rsidRPr="00D74068">
              <w:rPr>
                <w:rFonts w:ascii="Arial Narrow" w:hAnsi="Arial Narrow" w:cs="Arial Narrow"/>
                <w:b/>
              </w:rPr>
              <w:t>]</w:t>
            </w:r>
          </w:p>
        </w:tc>
      </w:tr>
      <w:tr w:rsidR="00035362" w:rsidRPr="00D74068" w14:paraId="12D908A3" w14:textId="77777777" w:rsidTr="00035362">
        <w:trPr>
          <w:tblHeader/>
        </w:trPr>
        <w:tc>
          <w:tcPr>
            <w:tcW w:w="5000" w:type="pct"/>
            <w:shd w:val="clear" w:color="auto" w:fill="D6E3BC" w:themeFill="accent3" w:themeFillTint="66"/>
          </w:tcPr>
          <w:p w14:paraId="4E078DD5" w14:textId="5107D487" w:rsidR="004936B9" w:rsidRPr="00D74068" w:rsidRDefault="00035362" w:rsidP="00AF0E97">
            <w:pPr>
              <w:jc w:val="left"/>
              <w:rPr>
                <w:rFonts w:ascii="Arial Narrow" w:hAnsi="Arial Narrow" w:cs="Arial Narrow"/>
                <w:b/>
                <w:color w:val="FF0000"/>
              </w:rPr>
            </w:pPr>
            <w:r w:rsidRPr="00D74068">
              <w:rPr>
                <w:rFonts w:ascii="Arial Narrow" w:hAnsi="Arial Narrow" w:cs="Arial Narrow"/>
                <w:b/>
                <w:color w:val="FF0000"/>
                <w:highlight w:val="yellow"/>
              </w:rPr>
              <w:t>[Note: Only snapshots or “One-Liners” or Bullet Points of the most important / strategic achievements. No details please]</w:t>
            </w:r>
          </w:p>
        </w:tc>
      </w:tr>
      <w:tr w:rsidR="00600AFA" w:rsidRPr="00D74068" w14:paraId="7A2EB4C6" w14:textId="77777777" w:rsidTr="00035362">
        <w:tc>
          <w:tcPr>
            <w:tcW w:w="5000" w:type="pct"/>
            <w:shd w:val="clear" w:color="auto" w:fill="F2DBDB" w:themeFill="accent2" w:themeFillTint="33"/>
          </w:tcPr>
          <w:p w14:paraId="2D7D930D" w14:textId="77777777" w:rsidR="006149D2" w:rsidRPr="00D74068" w:rsidRDefault="006149D2" w:rsidP="000F7DFB">
            <w:pPr>
              <w:rPr>
                <w:rFonts w:ascii="Arial Narrow" w:hAnsi="Arial Narrow" w:cs="Arial Narrow"/>
                <w:b/>
                <w:bCs/>
                <w:i/>
                <w:iCs/>
                <w:color w:val="FF0000"/>
              </w:rPr>
            </w:pPr>
            <w:r w:rsidRPr="00D74068">
              <w:rPr>
                <w:rFonts w:ascii="Arial Narrow" w:hAnsi="Arial Narrow" w:cs="Arial Narrow"/>
                <w:b/>
                <w:bCs/>
                <w:i/>
                <w:iCs/>
                <w:color w:val="FF0000"/>
              </w:rPr>
              <w:t>Strategic Priorities</w:t>
            </w:r>
          </w:p>
          <w:p w14:paraId="4FB8A8C0" w14:textId="46282ED8" w:rsidR="00600AFA" w:rsidRPr="00D74068" w:rsidRDefault="00600AFA" w:rsidP="000F7DFB">
            <w:pPr>
              <w:rPr>
                <w:rFonts w:ascii="Arial Narrow" w:hAnsi="Arial Narrow" w:cs="Arial Narrow"/>
                <w:i/>
                <w:iCs/>
                <w:color w:val="FF0000"/>
              </w:rPr>
            </w:pPr>
            <w:r w:rsidRPr="00D74068">
              <w:rPr>
                <w:rFonts w:ascii="Arial Narrow" w:hAnsi="Arial Narrow" w:cs="Arial Narrow"/>
                <w:i/>
                <w:iCs/>
                <w:color w:val="FF0000"/>
              </w:rPr>
              <w:t xml:space="preserve">High level summary of Committee’s overall assessment of the </w:t>
            </w:r>
            <w:r w:rsidR="00D74068" w:rsidRPr="00D74068">
              <w:rPr>
                <w:rFonts w:ascii="Arial Narrow" w:hAnsi="Arial Narrow" w:cs="Arial Narrow"/>
                <w:i/>
                <w:iCs/>
                <w:color w:val="FF0000"/>
              </w:rPr>
              <w:t>Department / Entity</w:t>
            </w:r>
            <w:r w:rsidR="006149D2" w:rsidRPr="00D74068">
              <w:rPr>
                <w:rFonts w:ascii="Arial Narrow" w:hAnsi="Arial Narrow" w:cs="Arial Narrow"/>
                <w:i/>
                <w:iCs/>
                <w:color w:val="FF0000"/>
              </w:rPr>
              <w:t xml:space="preserve"> achievement of relevant strategic priorities </w:t>
            </w:r>
            <w:r w:rsidRPr="00D74068">
              <w:rPr>
                <w:rFonts w:ascii="Arial Narrow" w:hAnsi="Arial Narrow" w:cs="Arial Narrow"/>
                <w:i/>
                <w:iCs/>
                <w:color w:val="FF0000"/>
              </w:rPr>
              <w:t>for the period under Review</w:t>
            </w:r>
          </w:p>
        </w:tc>
      </w:tr>
      <w:tr w:rsidR="001619AC" w:rsidRPr="001619AC" w14:paraId="386F20A2" w14:textId="77777777" w:rsidTr="00035362">
        <w:tc>
          <w:tcPr>
            <w:tcW w:w="5000" w:type="pct"/>
          </w:tcPr>
          <w:p w14:paraId="45C39998" w14:textId="7670E71F" w:rsidR="00FA3B52" w:rsidRPr="00FA3B52" w:rsidRDefault="00724DBD" w:rsidP="00FA3B52">
            <w:pPr>
              <w:spacing w:line="276" w:lineRule="auto"/>
              <w:jc w:val="left"/>
              <w:rPr>
                <w:rFonts w:ascii="Arial Narrow" w:hAnsi="Arial Narrow" w:cs="Calibri"/>
              </w:rPr>
            </w:pPr>
            <w:r>
              <w:rPr>
                <w:rFonts w:ascii="Arial Narrow" w:hAnsi="Arial Narrow" w:cs="Calibri"/>
              </w:rPr>
              <w:t xml:space="preserve">The Portfolio Committee noted that </w:t>
            </w:r>
            <w:r w:rsidR="000A1C25">
              <w:rPr>
                <w:rFonts w:ascii="Arial Narrow" w:hAnsi="Arial Narrow" w:cs="Calibri"/>
              </w:rPr>
              <w:t xml:space="preserve">the </w:t>
            </w:r>
            <w:r w:rsidR="000A1C25" w:rsidRPr="00FA3B52">
              <w:rPr>
                <w:rFonts w:ascii="Arial Narrow" w:hAnsi="Arial Narrow" w:cs="Calibri"/>
              </w:rPr>
              <w:t>financial</w:t>
            </w:r>
            <w:r w:rsidR="00FA3B52" w:rsidRPr="00FA3B52">
              <w:rPr>
                <w:rFonts w:ascii="Arial Narrow" w:hAnsi="Arial Narrow" w:cs="Calibri"/>
              </w:rPr>
              <w:t xml:space="preserve"> performance</w:t>
            </w:r>
            <w:r w:rsidR="008C3F84">
              <w:rPr>
                <w:rFonts w:ascii="Arial Narrow" w:hAnsi="Arial Narrow" w:cs="Calibri"/>
              </w:rPr>
              <w:t xml:space="preserve"> of the Department</w:t>
            </w:r>
            <w:r w:rsidR="004B49B7">
              <w:rPr>
                <w:rFonts w:ascii="Arial Narrow" w:hAnsi="Arial Narrow" w:cs="Calibri"/>
              </w:rPr>
              <w:t xml:space="preserve"> of CoGTA</w:t>
            </w:r>
            <w:r w:rsidR="00FA3B52" w:rsidRPr="00FA3B52">
              <w:rPr>
                <w:rFonts w:ascii="Arial Narrow" w:hAnsi="Arial Narrow" w:cs="Calibri"/>
              </w:rPr>
              <w:t xml:space="preserve"> </w:t>
            </w:r>
            <w:r w:rsidR="00EC55E8">
              <w:rPr>
                <w:rFonts w:ascii="Arial Narrow" w:hAnsi="Arial Narrow" w:cs="Calibri"/>
              </w:rPr>
              <w:t>recorded an</w:t>
            </w:r>
            <w:r w:rsidR="00FA3B52" w:rsidRPr="00FA3B52">
              <w:rPr>
                <w:rFonts w:ascii="Arial Narrow" w:hAnsi="Arial Narrow" w:cs="Calibri"/>
              </w:rPr>
              <w:t xml:space="preserve"> </w:t>
            </w:r>
            <w:r w:rsidR="00591E5C">
              <w:rPr>
                <w:rFonts w:ascii="Arial Narrow" w:hAnsi="Arial Narrow" w:cs="Calibri"/>
              </w:rPr>
              <w:t>underspending amounting to</w:t>
            </w:r>
            <w:r w:rsidR="00FA3B52" w:rsidRPr="00FA3B52">
              <w:rPr>
                <w:rFonts w:ascii="Arial Narrow" w:hAnsi="Arial Narrow" w:cs="Calibri"/>
              </w:rPr>
              <w:t xml:space="preserve"> R160 265 000. 00 (83%) against an allocation of R193 037 000. 00 in the second quarter of 2023/24 FY. The variance (under-expenditure) reported is R32 772 000. 00 (17%). In terms of the total budget and the expenditure to date, the Department spent 44% of its annual budget for 2023/24 FY.  </w:t>
            </w:r>
          </w:p>
          <w:p w14:paraId="7BE823FF" w14:textId="77777777" w:rsidR="00FA3B52" w:rsidRPr="00FA3B52" w:rsidRDefault="00FA3B52" w:rsidP="00FA3B52">
            <w:pPr>
              <w:spacing w:line="276" w:lineRule="auto"/>
              <w:jc w:val="left"/>
              <w:rPr>
                <w:rFonts w:ascii="Arial Narrow" w:hAnsi="Arial Narrow" w:cs="Calibri"/>
              </w:rPr>
            </w:pPr>
          </w:p>
          <w:p w14:paraId="13B9EE4B" w14:textId="179F50D7" w:rsidR="00FA3B52" w:rsidRPr="00FA3B52" w:rsidRDefault="00FA3B52" w:rsidP="00FA3B52">
            <w:pPr>
              <w:spacing w:line="276" w:lineRule="auto"/>
              <w:jc w:val="left"/>
              <w:rPr>
                <w:rFonts w:ascii="Arial Narrow" w:hAnsi="Arial Narrow" w:cs="Calibri"/>
              </w:rPr>
            </w:pPr>
            <w:r w:rsidRPr="00FA3B52">
              <w:rPr>
                <w:rFonts w:ascii="Arial Narrow" w:hAnsi="Arial Narrow" w:cs="Calibri"/>
              </w:rPr>
              <w:t xml:space="preserve">The Department </w:t>
            </w:r>
            <w:r w:rsidR="000A1C25">
              <w:rPr>
                <w:rFonts w:ascii="Arial Narrow" w:hAnsi="Arial Narrow" w:cs="Calibri"/>
              </w:rPr>
              <w:t>reported</w:t>
            </w:r>
            <w:r w:rsidRPr="00FA3B52">
              <w:rPr>
                <w:rFonts w:ascii="Arial Narrow" w:hAnsi="Arial Narrow" w:cs="Calibri"/>
              </w:rPr>
              <w:t xml:space="preserve"> that Gauteng municipalities have been monitored on the functionality of the municipal councils and related committees.</w:t>
            </w:r>
          </w:p>
          <w:p w14:paraId="5EF76213" w14:textId="77777777" w:rsidR="00FA3B52" w:rsidRPr="00FA3B52" w:rsidRDefault="00FA3B52" w:rsidP="00FA3B52">
            <w:pPr>
              <w:spacing w:line="276" w:lineRule="auto"/>
              <w:jc w:val="left"/>
              <w:rPr>
                <w:rFonts w:ascii="Arial Narrow" w:hAnsi="Arial Narrow" w:cs="Calibri"/>
              </w:rPr>
            </w:pPr>
          </w:p>
          <w:p w14:paraId="537A60E5" w14:textId="692FFE7D" w:rsidR="00FA3B52" w:rsidRPr="00FA3B52" w:rsidRDefault="00FA3B52" w:rsidP="00FA3B52">
            <w:pPr>
              <w:spacing w:line="276" w:lineRule="auto"/>
              <w:jc w:val="left"/>
              <w:rPr>
                <w:rFonts w:ascii="Arial Narrow" w:hAnsi="Arial Narrow" w:cs="Calibri"/>
              </w:rPr>
            </w:pPr>
            <w:r w:rsidRPr="00FA3B52">
              <w:rPr>
                <w:rFonts w:ascii="Arial Narrow" w:hAnsi="Arial Narrow" w:cs="Calibri"/>
              </w:rPr>
              <w:t>In terms of public participation, the Department reported</w:t>
            </w:r>
            <w:r w:rsidR="00C33486">
              <w:rPr>
                <w:rFonts w:ascii="Arial Narrow" w:hAnsi="Arial Narrow" w:cs="Calibri"/>
              </w:rPr>
              <w:t xml:space="preserve"> that</w:t>
            </w:r>
            <w:r w:rsidRPr="00FA3B52">
              <w:rPr>
                <w:rFonts w:ascii="Arial Narrow" w:hAnsi="Arial Narrow" w:cs="Calibri"/>
              </w:rPr>
              <w:t xml:space="preserve"> five (5) municipalities </w:t>
            </w:r>
            <w:r w:rsidR="00221191">
              <w:rPr>
                <w:rFonts w:ascii="Arial Narrow" w:hAnsi="Arial Narrow" w:cs="Calibri"/>
              </w:rPr>
              <w:t xml:space="preserve">which </w:t>
            </w:r>
            <w:r w:rsidR="008A7892">
              <w:rPr>
                <w:rFonts w:ascii="Arial Narrow" w:hAnsi="Arial Narrow" w:cs="Calibri"/>
              </w:rPr>
              <w:t xml:space="preserve">are </w:t>
            </w:r>
            <w:r w:rsidR="008A7892" w:rsidRPr="00FA3B52">
              <w:rPr>
                <w:rFonts w:ascii="Arial Narrow" w:hAnsi="Arial Narrow" w:cs="Calibri"/>
              </w:rPr>
              <w:t>Tshwane</w:t>
            </w:r>
            <w:r w:rsidRPr="00FA3B52">
              <w:rPr>
                <w:rFonts w:ascii="Arial Narrow" w:hAnsi="Arial Narrow" w:cs="Calibri"/>
              </w:rPr>
              <w:t>, Ekurhuleni, Joburg, Lesedi and West Rand</w:t>
            </w:r>
            <w:r w:rsidR="00EE704B">
              <w:rPr>
                <w:rFonts w:ascii="Arial Narrow" w:hAnsi="Arial Narrow" w:cs="Calibri"/>
              </w:rPr>
              <w:t xml:space="preserve"> </w:t>
            </w:r>
            <w:r w:rsidR="00C33486">
              <w:rPr>
                <w:rFonts w:ascii="Arial Narrow" w:hAnsi="Arial Narrow" w:cs="Calibri"/>
              </w:rPr>
              <w:t xml:space="preserve">were </w:t>
            </w:r>
            <w:r w:rsidR="00EE704B">
              <w:rPr>
                <w:rFonts w:ascii="Arial Narrow" w:hAnsi="Arial Narrow" w:cs="Calibri"/>
              </w:rPr>
              <w:t>supported</w:t>
            </w:r>
            <w:r w:rsidRPr="00FA3B52">
              <w:rPr>
                <w:rFonts w:ascii="Arial Narrow" w:hAnsi="Arial Narrow" w:cs="Calibri"/>
              </w:rPr>
              <w:t xml:space="preserve"> with the Asset Based Community Development (ABCD) as part of local governance. </w:t>
            </w:r>
          </w:p>
          <w:p w14:paraId="18E423E9" w14:textId="77777777" w:rsidR="00FA3B52" w:rsidRPr="00FA3B52" w:rsidRDefault="00FA3B52" w:rsidP="00FA3B52">
            <w:pPr>
              <w:spacing w:line="276" w:lineRule="auto"/>
              <w:jc w:val="left"/>
              <w:rPr>
                <w:rFonts w:ascii="Arial Narrow" w:hAnsi="Arial Narrow" w:cs="Calibri"/>
              </w:rPr>
            </w:pPr>
          </w:p>
          <w:p w14:paraId="034258A5" w14:textId="7CE37786" w:rsidR="00FA3B52" w:rsidRPr="00FA3B52" w:rsidRDefault="004265BA" w:rsidP="00FA3B52">
            <w:pPr>
              <w:spacing w:line="276" w:lineRule="auto"/>
              <w:jc w:val="left"/>
              <w:rPr>
                <w:rFonts w:ascii="Arial Narrow" w:hAnsi="Arial Narrow" w:cs="Calibri"/>
              </w:rPr>
            </w:pPr>
            <w:r w:rsidRPr="00FA3B52">
              <w:rPr>
                <w:rFonts w:ascii="Arial Narrow" w:hAnsi="Arial Narrow" w:cs="Calibri"/>
              </w:rPr>
              <w:t>Regarding</w:t>
            </w:r>
            <w:r w:rsidR="00FA3B52" w:rsidRPr="00FA3B52">
              <w:rPr>
                <w:rFonts w:ascii="Arial Narrow" w:hAnsi="Arial Narrow" w:cs="Calibri"/>
              </w:rPr>
              <w:t xml:space="preserve"> enhancing revenue collection of Emfuleni and West Rand</w:t>
            </w:r>
            <w:r w:rsidR="008A7892">
              <w:rPr>
                <w:rFonts w:ascii="Arial Narrow" w:hAnsi="Arial Narrow" w:cs="Calibri"/>
              </w:rPr>
              <w:t xml:space="preserve"> municipalities</w:t>
            </w:r>
            <w:r w:rsidR="00FA3B52" w:rsidRPr="00FA3B52">
              <w:rPr>
                <w:rFonts w:ascii="Arial Narrow" w:hAnsi="Arial Narrow" w:cs="Calibri"/>
              </w:rPr>
              <w:t xml:space="preserve">, the Department embarked on a drive to implement the simplified revenue plans.      </w:t>
            </w:r>
          </w:p>
          <w:p w14:paraId="234F71DB" w14:textId="77777777" w:rsidR="00FA3B52" w:rsidRPr="00FA3B52" w:rsidRDefault="00FA3B52" w:rsidP="00FA3B52">
            <w:pPr>
              <w:spacing w:line="276" w:lineRule="auto"/>
              <w:jc w:val="left"/>
              <w:rPr>
                <w:rFonts w:ascii="Arial Narrow" w:hAnsi="Arial Narrow" w:cs="Calibri"/>
              </w:rPr>
            </w:pPr>
          </w:p>
          <w:p w14:paraId="39CFB614" w14:textId="4D25786F" w:rsidR="00FA3B52" w:rsidRPr="00FA3B52" w:rsidRDefault="00FA3B52" w:rsidP="00FA3B52">
            <w:pPr>
              <w:spacing w:line="276" w:lineRule="auto"/>
              <w:jc w:val="left"/>
              <w:rPr>
                <w:rFonts w:ascii="Arial Narrow" w:hAnsi="Arial Narrow" w:cs="Calibri"/>
              </w:rPr>
            </w:pPr>
            <w:r w:rsidRPr="00FA3B52">
              <w:rPr>
                <w:rFonts w:ascii="Arial Narrow" w:hAnsi="Arial Narrow" w:cs="Calibri"/>
              </w:rPr>
              <w:t>On risk assessment:</w:t>
            </w:r>
            <w:r w:rsidR="00281778">
              <w:rPr>
                <w:rFonts w:ascii="Arial Narrow" w:hAnsi="Arial Narrow" w:cs="Calibri"/>
              </w:rPr>
              <w:t xml:space="preserve"> as in the </w:t>
            </w:r>
            <w:r w:rsidR="009A6CB4">
              <w:rPr>
                <w:rFonts w:ascii="Arial Narrow" w:hAnsi="Arial Narrow" w:cs="Calibri"/>
              </w:rPr>
              <w:t xml:space="preserve">previous quarter, </w:t>
            </w:r>
            <w:r w:rsidR="004E582D">
              <w:rPr>
                <w:rFonts w:ascii="Arial Narrow" w:hAnsi="Arial Narrow" w:cs="Calibri"/>
              </w:rPr>
              <w:t xml:space="preserve">the Portfolio Committee noted </w:t>
            </w:r>
            <w:r w:rsidR="009A6CB4">
              <w:rPr>
                <w:rFonts w:ascii="Arial Narrow" w:hAnsi="Arial Narrow" w:cs="Calibri"/>
              </w:rPr>
              <w:t>the</w:t>
            </w:r>
            <w:r w:rsidRPr="00FA3B52">
              <w:rPr>
                <w:rFonts w:ascii="Arial Narrow" w:hAnsi="Arial Narrow" w:cs="Calibri"/>
              </w:rPr>
              <w:t xml:space="preserve"> inability to effectively support municipalities to be financially viable; disruption of the administrative and political operations in hung municipalities; and inadequate support for municipal service delivery on infrastructure projects; as well as poor support for local economic development in municipalities.     </w:t>
            </w:r>
          </w:p>
          <w:p w14:paraId="7088EDBC" w14:textId="77777777" w:rsidR="00FA3B52" w:rsidRPr="00FA3B52" w:rsidRDefault="00FA3B52" w:rsidP="00FA3B52">
            <w:pPr>
              <w:spacing w:line="276" w:lineRule="auto"/>
              <w:jc w:val="left"/>
              <w:rPr>
                <w:rFonts w:ascii="Arial Narrow" w:hAnsi="Arial Narrow" w:cs="Calibri"/>
              </w:rPr>
            </w:pPr>
          </w:p>
          <w:p w14:paraId="775CA692" w14:textId="501548A5" w:rsidR="00787F51" w:rsidRPr="00F2451C" w:rsidRDefault="00787F51" w:rsidP="00787F51">
            <w:pPr>
              <w:rPr>
                <w:rFonts w:ascii="Arial Narrow" w:hAnsi="Arial Narrow" w:cs="Arial"/>
                <w:bCs/>
                <w:iCs/>
              </w:rPr>
            </w:pPr>
          </w:p>
        </w:tc>
      </w:tr>
      <w:tr w:rsidR="00600AFA" w:rsidRPr="001619AC" w14:paraId="7A6EC9F8" w14:textId="77777777" w:rsidTr="00035362">
        <w:tc>
          <w:tcPr>
            <w:tcW w:w="5000" w:type="pct"/>
            <w:shd w:val="clear" w:color="auto" w:fill="F2DBDB" w:themeFill="accent2" w:themeFillTint="33"/>
          </w:tcPr>
          <w:p w14:paraId="590B890D" w14:textId="6EBA34B2" w:rsidR="006149D2" w:rsidRPr="001619AC" w:rsidRDefault="00D74068" w:rsidP="000F7DFB">
            <w:pPr>
              <w:rPr>
                <w:rFonts w:ascii="Arial Narrow" w:hAnsi="Arial Narrow"/>
                <w:b/>
                <w:i/>
                <w:iCs/>
              </w:rPr>
            </w:pPr>
            <w:r w:rsidRPr="001619AC">
              <w:rPr>
                <w:rFonts w:ascii="Arial Narrow" w:hAnsi="Arial Narrow"/>
                <w:b/>
                <w:i/>
                <w:iCs/>
              </w:rPr>
              <w:t>Department / Entity</w:t>
            </w:r>
            <w:r w:rsidR="006149D2" w:rsidRPr="001619AC">
              <w:rPr>
                <w:rFonts w:ascii="Arial Narrow" w:hAnsi="Arial Narrow"/>
                <w:b/>
                <w:i/>
                <w:iCs/>
              </w:rPr>
              <w:t xml:space="preserve"> APP Achievement</w:t>
            </w:r>
          </w:p>
          <w:p w14:paraId="6320BFE6" w14:textId="115D823D" w:rsidR="00600AFA" w:rsidRPr="001619AC" w:rsidRDefault="00600AFA" w:rsidP="000F7DFB">
            <w:pPr>
              <w:rPr>
                <w:rFonts w:ascii="Arial Narrow" w:hAnsi="Arial Narrow"/>
                <w:bCs/>
                <w:i/>
                <w:iCs/>
              </w:rPr>
            </w:pPr>
            <w:r w:rsidRPr="001619AC">
              <w:rPr>
                <w:rFonts w:ascii="Arial Narrow" w:hAnsi="Arial Narrow"/>
                <w:bCs/>
                <w:i/>
                <w:iCs/>
              </w:rPr>
              <w:t xml:space="preserve">An overall Summary of whether the Committee thinks the </w:t>
            </w:r>
            <w:r w:rsidR="004265BA" w:rsidRPr="001619AC">
              <w:rPr>
                <w:rFonts w:ascii="Arial Narrow" w:hAnsi="Arial Narrow"/>
                <w:bCs/>
                <w:i/>
                <w:iCs/>
              </w:rPr>
              <w:t>Department Non</w:t>
            </w:r>
            <w:r w:rsidRPr="001619AC">
              <w:rPr>
                <w:rFonts w:ascii="Arial Narrow" w:hAnsi="Arial Narrow"/>
                <w:bCs/>
                <w:i/>
                <w:iCs/>
              </w:rPr>
              <w:t>-Financial Performance is sound and prudent</w:t>
            </w:r>
          </w:p>
        </w:tc>
      </w:tr>
      <w:tr w:rsidR="00600AFA" w:rsidRPr="001619AC" w14:paraId="27E95635" w14:textId="77777777" w:rsidTr="00035362">
        <w:tc>
          <w:tcPr>
            <w:tcW w:w="5000" w:type="pct"/>
            <w:shd w:val="clear" w:color="auto" w:fill="FFFFFF" w:themeFill="background1"/>
          </w:tcPr>
          <w:p w14:paraId="0B5D8053" w14:textId="7EDAD15B" w:rsidR="00F335D3"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t xml:space="preserve">The Committee </w:t>
            </w:r>
            <w:r w:rsidR="004265BA" w:rsidRPr="00B47CD0">
              <w:rPr>
                <w:rFonts w:ascii="Arial Narrow" w:hAnsi="Arial Narrow" w:cs="Arial"/>
                <w:bCs/>
                <w:iCs/>
                <w:lang w:val="en-US"/>
              </w:rPr>
              <w:t>noted the</w:t>
            </w:r>
            <w:r w:rsidRPr="00B47CD0">
              <w:rPr>
                <w:rFonts w:ascii="Arial Narrow" w:hAnsi="Arial Narrow" w:cs="Arial"/>
                <w:bCs/>
                <w:iCs/>
                <w:lang w:val="en-US"/>
              </w:rPr>
              <w:t xml:space="preserve"> </w:t>
            </w:r>
            <w:r w:rsidR="00F335D3">
              <w:rPr>
                <w:rFonts w:ascii="Arial Narrow" w:hAnsi="Arial Narrow" w:cs="Arial"/>
                <w:bCs/>
                <w:iCs/>
                <w:lang w:val="en-US"/>
              </w:rPr>
              <w:t xml:space="preserve">following performance per </w:t>
            </w:r>
            <w:r w:rsidRPr="00B47CD0">
              <w:rPr>
                <w:rFonts w:ascii="Arial Narrow" w:hAnsi="Arial Narrow" w:cs="Arial"/>
                <w:bCs/>
                <w:iCs/>
                <w:lang w:val="en-US"/>
              </w:rPr>
              <w:t>programme</w:t>
            </w:r>
            <w:r w:rsidR="0089297F">
              <w:rPr>
                <w:rFonts w:ascii="Arial Narrow" w:hAnsi="Arial Narrow" w:cs="Arial"/>
                <w:bCs/>
                <w:iCs/>
                <w:lang w:val="en-US"/>
              </w:rPr>
              <w:t>:</w:t>
            </w:r>
          </w:p>
          <w:p w14:paraId="67FF871F" w14:textId="77E309D7" w:rsidR="00B47CD0"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t>•</w:t>
            </w:r>
            <w:r w:rsidRPr="00B47CD0">
              <w:rPr>
                <w:rFonts w:ascii="Arial Narrow" w:hAnsi="Arial Narrow" w:cs="Arial"/>
                <w:bCs/>
                <w:iCs/>
                <w:lang w:val="en-US"/>
              </w:rPr>
              <w:tab/>
              <w:t xml:space="preserve">Programme 1: Administration: </w:t>
            </w:r>
            <w:r w:rsidR="00EA1536">
              <w:rPr>
                <w:rFonts w:ascii="Arial Narrow" w:hAnsi="Arial Narrow" w:cs="Arial"/>
                <w:bCs/>
                <w:iCs/>
                <w:lang w:val="en-US"/>
              </w:rPr>
              <w:t>P</w:t>
            </w:r>
            <w:r w:rsidR="007127F2">
              <w:rPr>
                <w:rFonts w:ascii="Arial Narrow" w:hAnsi="Arial Narrow" w:cs="Arial"/>
                <w:bCs/>
                <w:iCs/>
                <w:lang w:val="en-US"/>
              </w:rPr>
              <w:t>lan</w:t>
            </w:r>
            <w:r w:rsidR="00EA1536">
              <w:rPr>
                <w:rFonts w:ascii="Arial Narrow" w:hAnsi="Arial Narrow" w:cs="Arial"/>
                <w:bCs/>
                <w:iCs/>
                <w:lang w:val="en-US"/>
              </w:rPr>
              <w:t>ned to</w:t>
            </w:r>
            <w:r w:rsidR="007127F2">
              <w:rPr>
                <w:rFonts w:ascii="Arial Narrow" w:hAnsi="Arial Narrow" w:cs="Arial"/>
                <w:bCs/>
                <w:iCs/>
                <w:lang w:val="en-US"/>
              </w:rPr>
              <w:t xml:space="preserve"> </w:t>
            </w:r>
            <w:r w:rsidR="004265BA">
              <w:rPr>
                <w:rFonts w:ascii="Arial Narrow" w:hAnsi="Arial Narrow" w:cs="Arial"/>
                <w:bCs/>
                <w:iCs/>
                <w:lang w:val="en-US"/>
              </w:rPr>
              <w:t>2 targets</w:t>
            </w:r>
            <w:r w:rsidR="007127F2">
              <w:rPr>
                <w:rFonts w:ascii="Arial Narrow" w:hAnsi="Arial Narrow" w:cs="Arial"/>
                <w:bCs/>
                <w:iCs/>
                <w:lang w:val="en-US"/>
              </w:rPr>
              <w:t xml:space="preserve"> and </w:t>
            </w:r>
            <w:r w:rsidR="00A15090">
              <w:rPr>
                <w:rFonts w:ascii="Arial Narrow" w:hAnsi="Arial Narrow" w:cs="Arial"/>
                <w:bCs/>
                <w:iCs/>
                <w:lang w:val="en-US"/>
              </w:rPr>
              <w:t>50</w:t>
            </w:r>
            <w:r w:rsidR="004265BA">
              <w:rPr>
                <w:rFonts w:ascii="Arial Narrow" w:hAnsi="Arial Narrow" w:cs="Arial"/>
                <w:bCs/>
                <w:iCs/>
                <w:lang w:val="en-US"/>
              </w:rPr>
              <w:t>% was</w:t>
            </w:r>
            <w:r w:rsidR="00A021D7">
              <w:rPr>
                <w:rFonts w:ascii="Arial Narrow" w:hAnsi="Arial Narrow" w:cs="Arial"/>
                <w:bCs/>
                <w:iCs/>
                <w:lang w:val="en-US"/>
              </w:rPr>
              <w:t xml:space="preserve"> </w:t>
            </w:r>
            <w:r w:rsidRPr="00B47CD0">
              <w:rPr>
                <w:rFonts w:ascii="Arial Narrow" w:hAnsi="Arial Narrow" w:cs="Arial"/>
                <w:bCs/>
                <w:iCs/>
                <w:lang w:val="en-US"/>
              </w:rPr>
              <w:t>achieved</w:t>
            </w:r>
            <w:r w:rsidR="00CF25CE">
              <w:rPr>
                <w:rFonts w:ascii="Arial Narrow" w:hAnsi="Arial Narrow" w:cs="Arial"/>
                <w:bCs/>
                <w:iCs/>
                <w:lang w:val="en-US"/>
              </w:rPr>
              <w:t xml:space="preserve"> and 50% not achieved</w:t>
            </w:r>
            <w:r w:rsidR="00A021D7">
              <w:rPr>
                <w:rFonts w:ascii="Arial Narrow" w:hAnsi="Arial Narrow" w:cs="Arial"/>
                <w:bCs/>
                <w:iCs/>
                <w:lang w:val="en-US"/>
              </w:rPr>
              <w:t>.</w:t>
            </w:r>
          </w:p>
          <w:p w14:paraId="50EFAEAA" w14:textId="19474D2B" w:rsidR="00B47CD0"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t>•</w:t>
            </w:r>
            <w:r w:rsidRPr="00B47CD0">
              <w:rPr>
                <w:rFonts w:ascii="Arial Narrow" w:hAnsi="Arial Narrow" w:cs="Arial"/>
                <w:bCs/>
                <w:iCs/>
                <w:lang w:val="en-US"/>
              </w:rPr>
              <w:tab/>
              <w:t>Programme 2: Local Governance</w:t>
            </w:r>
            <w:r w:rsidR="00EA1536">
              <w:rPr>
                <w:rFonts w:ascii="Arial Narrow" w:hAnsi="Arial Narrow" w:cs="Arial"/>
                <w:bCs/>
                <w:iCs/>
                <w:lang w:val="en-US"/>
              </w:rPr>
              <w:t>:</w:t>
            </w:r>
            <w:r w:rsidRPr="00B47CD0">
              <w:rPr>
                <w:rFonts w:ascii="Arial Narrow" w:hAnsi="Arial Narrow" w:cs="Arial"/>
                <w:bCs/>
                <w:iCs/>
                <w:lang w:val="en-US"/>
              </w:rPr>
              <w:t xml:space="preserve"> </w:t>
            </w:r>
            <w:r w:rsidR="00EA1536">
              <w:rPr>
                <w:rFonts w:ascii="Arial Narrow" w:hAnsi="Arial Narrow" w:cs="Arial"/>
                <w:bCs/>
                <w:iCs/>
                <w:lang w:val="en-US"/>
              </w:rPr>
              <w:t>Planned</w:t>
            </w:r>
            <w:r w:rsidR="00C05741">
              <w:rPr>
                <w:rFonts w:ascii="Arial Narrow" w:hAnsi="Arial Narrow" w:cs="Arial"/>
                <w:bCs/>
                <w:iCs/>
                <w:lang w:val="en-US"/>
              </w:rPr>
              <w:t xml:space="preserve"> </w:t>
            </w:r>
            <w:r w:rsidR="003749C3">
              <w:rPr>
                <w:rFonts w:ascii="Arial Narrow" w:hAnsi="Arial Narrow" w:cs="Arial"/>
                <w:bCs/>
                <w:iCs/>
                <w:lang w:val="en-US"/>
              </w:rPr>
              <w:t>20</w:t>
            </w:r>
            <w:r w:rsidR="00C05741">
              <w:rPr>
                <w:rFonts w:ascii="Arial Narrow" w:hAnsi="Arial Narrow" w:cs="Arial"/>
                <w:bCs/>
                <w:iCs/>
                <w:lang w:val="en-US"/>
              </w:rPr>
              <w:t xml:space="preserve"> ta</w:t>
            </w:r>
            <w:r w:rsidR="00EF22EB">
              <w:rPr>
                <w:rFonts w:ascii="Arial Narrow" w:hAnsi="Arial Narrow" w:cs="Arial"/>
                <w:bCs/>
                <w:iCs/>
                <w:lang w:val="en-US"/>
              </w:rPr>
              <w:t xml:space="preserve">rgets, </w:t>
            </w:r>
            <w:r w:rsidR="004213DA">
              <w:rPr>
                <w:rFonts w:ascii="Arial Narrow" w:hAnsi="Arial Narrow" w:cs="Arial"/>
                <w:bCs/>
                <w:iCs/>
                <w:lang w:val="en-US"/>
              </w:rPr>
              <w:t>achieve</w:t>
            </w:r>
            <w:r w:rsidR="00EF22EB">
              <w:rPr>
                <w:rFonts w:ascii="Arial Narrow" w:hAnsi="Arial Narrow" w:cs="Arial"/>
                <w:bCs/>
                <w:iCs/>
                <w:lang w:val="en-US"/>
              </w:rPr>
              <w:t>d</w:t>
            </w:r>
            <w:r w:rsidR="004213DA">
              <w:rPr>
                <w:rFonts w:ascii="Arial Narrow" w:hAnsi="Arial Narrow" w:cs="Arial"/>
                <w:bCs/>
                <w:iCs/>
                <w:lang w:val="en-US"/>
              </w:rPr>
              <w:t xml:space="preserve"> </w:t>
            </w:r>
            <w:r w:rsidR="004213DA" w:rsidRPr="004213DA">
              <w:rPr>
                <w:rFonts w:ascii="Arial Narrow" w:hAnsi="Arial Narrow" w:cs="Arial"/>
                <w:bCs/>
                <w:iCs/>
                <w:lang w:val="en-US"/>
              </w:rPr>
              <w:t>1</w:t>
            </w:r>
            <w:r w:rsidR="00EF22EB">
              <w:rPr>
                <w:rFonts w:ascii="Arial Narrow" w:hAnsi="Arial Narrow" w:cs="Arial"/>
                <w:bCs/>
                <w:iCs/>
                <w:lang w:val="en-US"/>
              </w:rPr>
              <w:t>8</w:t>
            </w:r>
            <w:r w:rsidR="004213DA" w:rsidRPr="004213DA">
              <w:rPr>
                <w:rFonts w:ascii="Arial Narrow" w:hAnsi="Arial Narrow" w:cs="Arial"/>
                <w:bCs/>
                <w:iCs/>
                <w:lang w:val="en-US"/>
              </w:rPr>
              <w:t xml:space="preserve"> targets </w:t>
            </w:r>
            <w:r w:rsidR="008C2C43">
              <w:rPr>
                <w:rFonts w:ascii="Arial Narrow" w:hAnsi="Arial Narrow" w:cs="Arial"/>
                <w:bCs/>
                <w:iCs/>
                <w:lang w:val="en-US"/>
              </w:rPr>
              <w:t>(</w:t>
            </w:r>
            <w:r w:rsidR="00EF22EB">
              <w:rPr>
                <w:rFonts w:ascii="Arial Narrow" w:hAnsi="Arial Narrow" w:cs="Arial"/>
                <w:bCs/>
                <w:iCs/>
                <w:lang w:val="en-US"/>
              </w:rPr>
              <w:t>9</w:t>
            </w:r>
            <w:r w:rsidR="00AA7A74">
              <w:rPr>
                <w:rFonts w:ascii="Arial Narrow" w:hAnsi="Arial Narrow" w:cs="Arial"/>
                <w:bCs/>
                <w:iCs/>
                <w:lang w:val="en-US"/>
              </w:rPr>
              <w:t>0</w:t>
            </w:r>
            <w:r w:rsidR="004265BA" w:rsidRPr="00B47CD0">
              <w:rPr>
                <w:rFonts w:ascii="Arial Narrow" w:hAnsi="Arial Narrow" w:cs="Arial"/>
                <w:bCs/>
                <w:iCs/>
                <w:lang w:val="en-US"/>
              </w:rPr>
              <w:t>%</w:t>
            </w:r>
            <w:r w:rsidR="004265BA">
              <w:rPr>
                <w:rFonts w:ascii="Arial Narrow" w:hAnsi="Arial Narrow" w:cs="Arial"/>
                <w:bCs/>
                <w:iCs/>
                <w:lang w:val="en-US"/>
              </w:rPr>
              <w:t>)</w:t>
            </w:r>
            <w:r w:rsidR="004265BA" w:rsidRPr="00B47CD0">
              <w:rPr>
                <w:rFonts w:ascii="Arial Narrow" w:hAnsi="Arial Narrow" w:cs="Arial"/>
                <w:bCs/>
                <w:iCs/>
                <w:lang w:val="en-US"/>
              </w:rPr>
              <w:t xml:space="preserve"> </w:t>
            </w:r>
            <w:r w:rsidR="004265BA">
              <w:rPr>
                <w:rFonts w:ascii="Arial Narrow" w:hAnsi="Arial Narrow" w:cs="Arial"/>
                <w:bCs/>
                <w:iCs/>
                <w:lang w:val="en-US"/>
              </w:rPr>
              <w:t>of</w:t>
            </w:r>
            <w:r w:rsidR="00CF44D9">
              <w:rPr>
                <w:rFonts w:ascii="Arial Narrow" w:hAnsi="Arial Narrow" w:cs="Arial"/>
                <w:bCs/>
                <w:iCs/>
                <w:lang w:val="en-US"/>
              </w:rPr>
              <w:t xml:space="preserve"> the </w:t>
            </w:r>
            <w:r w:rsidR="003749C3">
              <w:rPr>
                <w:rFonts w:ascii="Arial Narrow" w:hAnsi="Arial Narrow" w:cs="Arial"/>
                <w:bCs/>
                <w:iCs/>
                <w:lang w:val="en-US"/>
              </w:rPr>
              <w:t>2</w:t>
            </w:r>
            <w:r w:rsidR="008C2C43">
              <w:rPr>
                <w:rFonts w:ascii="Arial Narrow" w:hAnsi="Arial Narrow" w:cs="Arial"/>
                <w:bCs/>
                <w:iCs/>
                <w:lang w:val="en-US"/>
              </w:rPr>
              <w:t xml:space="preserve"> (</w:t>
            </w:r>
            <w:r w:rsidR="00AA7A74">
              <w:rPr>
                <w:rFonts w:ascii="Arial Narrow" w:hAnsi="Arial Narrow" w:cs="Arial"/>
                <w:bCs/>
                <w:iCs/>
                <w:lang w:val="en-US"/>
              </w:rPr>
              <w:t>10</w:t>
            </w:r>
            <w:r w:rsidR="008C2C43">
              <w:rPr>
                <w:rFonts w:ascii="Arial Narrow" w:hAnsi="Arial Narrow" w:cs="Arial"/>
                <w:bCs/>
                <w:iCs/>
                <w:lang w:val="en-US"/>
              </w:rPr>
              <w:t>%)</w:t>
            </w:r>
            <w:r w:rsidR="00CF44D9">
              <w:rPr>
                <w:rFonts w:ascii="Arial Narrow" w:hAnsi="Arial Narrow" w:cs="Arial"/>
                <w:bCs/>
                <w:iCs/>
                <w:lang w:val="en-US"/>
              </w:rPr>
              <w:t xml:space="preserve"> </w:t>
            </w:r>
            <w:r w:rsidR="006C716E">
              <w:rPr>
                <w:rFonts w:ascii="Arial Narrow" w:hAnsi="Arial Narrow" w:cs="Arial"/>
                <w:bCs/>
                <w:iCs/>
                <w:lang w:val="en-US"/>
              </w:rPr>
              <w:t xml:space="preserve">target </w:t>
            </w:r>
            <w:r w:rsidRPr="00B47CD0">
              <w:rPr>
                <w:rFonts w:ascii="Arial Narrow" w:hAnsi="Arial Narrow" w:cs="Arial"/>
                <w:bCs/>
                <w:iCs/>
                <w:lang w:val="en-US"/>
              </w:rPr>
              <w:t>w</w:t>
            </w:r>
            <w:r w:rsidR="006C716E">
              <w:rPr>
                <w:rFonts w:ascii="Arial Narrow" w:hAnsi="Arial Narrow" w:cs="Arial"/>
                <w:bCs/>
                <w:iCs/>
                <w:lang w:val="en-US"/>
              </w:rPr>
              <w:t>as</w:t>
            </w:r>
            <w:r w:rsidR="00EF22EB">
              <w:rPr>
                <w:rFonts w:ascii="Arial Narrow" w:hAnsi="Arial Narrow" w:cs="Arial"/>
                <w:bCs/>
                <w:iCs/>
                <w:lang w:val="en-US"/>
              </w:rPr>
              <w:t xml:space="preserve"> </w:t>
            </w:r>
            <w:r w:rsidR="004265BA">
              <w:rPr>
                <w:rFonts w:ascii="Arial Narrow" w:hAnsi="Arial Narrow" w:cs="Arial"/>
                <w:bCs/>
                <w:iCs/>
                <w:lang w:val="en-US"/>
              </w:rPr>
              <w:t xml:space="preserve">not </w:t>
            </w:r>
            <w:r w:rsidR="004265BA" w:rsidRPr="00B47CD0">
              <w:rPr>
                <w:rFonts w:ascii="Arial Narrow" w:hAnsi="Arial Narrow" w:cs="Arial"/>
                <w:bCs/>
                <w:iCs/>
                <w:lang w:val="en-US"/>
              </w:rPr>
              <w:t>achieved</w:t>
            </w:r>
            <w:r w:rsidRPr="00B47CD0">
              <w:rPr>
                <w:rFonts w:ascii="Arial Narrow" w:hAnsi="Arial Narrow" w:cs="Arial"/>
                <w:bCs/>
                <w:iCs/>
                <w:lang w:val="en-US"/>
              </w:rPr>
              <w:t xml:space="preserve">. </w:t>
            </w:r>
          </w:p>
          <w:p w14:paraId="160C9A02" w14:textId="381559BB" w:rsidR="00B47CD0"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t>•</w:t>
            </w:r>
            <w:r w:rsidRPr="00B47CD0">
              <w:rPr>
                <w:rFonts w:ascii="Arial Narrow" w:hAnsi="Arial Narrow" w:cs="Arial"/>
                <w:bCs/>
                <w:iCs/>
                <w:lang w:val="en-US"/>
              </w:rPr>
              <w:tab/>
              <w:t xml:space="preserve">Programme 3: Urban Planning: </w:t>
            </w:r>
            <w:r w:rsidR="007E10C1">
              <w:rPr>
                <w:rFonts w:ascii="Arial Narrow" w:hAnsi="Arial Narrow" w:cs="Arial"/>
                <w:bCs/>
                <w:iCs/>
                <w:lang w:val="en-US"/>
              </w:rPr>
              <w:t xml:space="preserve">Planned to achieve </w:t>
            </w:r>
            <w:r w:rsidR="00986469">
              <w:rPr>
                <w:rFonts w:ascii="Arial Narrow" w:hAnsi="Arial Narrow" w:cs="Arial"/>
                <w:bCs/>
                <w:iCs/>
                <w:lang w:val="en-US"/>
              </w:rPr>
              <w:t>1</w:t>
            </w:r>
            <w:r w:rsidR="00D97F78">
              <w:rPr>
                <w:rFonts w:ascii="Arial Narrow" w:hAnsi="Arial Narrow" w:cs="Arial"/>
                <w:bCs/>
                <w:iCs/>
                <w:lang w:val="en-US"/>
              </w:rPr>
              <w:t>2</w:t>
            </w:r>
            <w:r w:rsidR="007E10C1" w:rsidRPr="007E10C1">
              <w:rPr>
                <w:rFonts w:ascii="Arial Narrow" w:hAnsi="Arial Narrow" w:cs="Arial"/>
                <w:bCs/>
                <w:iCs/>
                <w:lang w:val="en-US"/>
              </w:rPr>
              <w:t xml:space="preserve"> </w:t>
            </w:r>
            <w:r w:rsidR="004265BA" w:rsidRPr="007E10C1">
              <w:rPr>
                <w:rFonts w:ascii="Arial Narrow" w:hAnsi="Arial Narrow" w:cs="Arial"/>
                <w:bCs/>
                <w:iCs/>
                <w:lang w:val="en-US"/>
              </w:rPr>
              <w:t>targets,</w:t>
            </w:r>
            <w:r w:rsidR="000872B5" w:rsidRPr="000872B5">
              <w:t xml:space="preserve"> </w:t>
            </w:r>
            <w:r w:rsidR="000872B5" w:rsidRPr="000872B5">
              <w:rPr>
                <w:rFonts w:ascii="Arial Narrow" w:hAnsi="Arial Narrow" w:cs="Arial"/>
                <w:bCs/>
                <w:iCs/>
                <w:lang w:val="en-US"/>
              </w:rPr>
              <w:t>9</w:t>
            </w:r>
            <w:r w:rsidR="004F096A">
              <w:rPr>
                <w:rFonts w:ascii="Arial Narrow" w:hAnsi="Arial Narrow" w:cs="Arial"/>
                <w:bCs/>
                <w:iCs/>
                <w:lang w:val="en-US"/>
              </w:rPr>
              <w:t>2</w:t>
            </w:r>
            <w:r w:rsidR="000872B5" w:rsidRPr="000872B5">
              <w:rPr>
                <w:rFonts w:ascii="Arial Narrow" w:hAnsi="Arial Narrow" w:cs="Arial"/>
                <w:bCs/>
                <w:iCs/>
                <w:lang w:val="en-US"/>
              </w:rPr>
              <w:t>% (1</w:t>
            </w:r>
            <w:r w:rsidR="004F096A">
              <w:rPr>
                <w:rFonts w:ascii="Arial Narrow" w:hAnsi="Arial Narrow" w:cs="Arial"/>
                <w:bCs/>
                <w:iCs/>
                <w:lang w:val="en-US"/>
              </w:rPr>
              <w:t>1</w:t>
            </w:r>
            <w:r w:rsidR="000872B5" w:rsidRPr="000872B5">
              <w:rPr>
                <w:rFonts w:ascii="Arial Narrow" w:hAnsi="Arial Narrow" w:cs="Arial"/>
                <w:bCs/>
                <w:iCs/>
                <w:lang w:val="en-US"/>
              </w:rPr>
              <w:t xml:space="preserve">) of the planned targets were achieved, and </w:t>
            </w:r>
            <w:r w:rsidR="004F096A">
              <w:rPr>
                <w:rFonts w:ascii="Arial Narrow" w:hAnsi="Arial Narrow" w:cs="Arial"/>
                <w:bCs/>
                <w:iCs/>
                <w:lang w:val="en-US"/>
              </w:rPr>
              <w:t>8</w:t>
            </w:r>
            <w:r w:rsidR="000872B5" w:rsidRPr="000872B5">
              <w:rPr>
                <w:rFonts w:ascii="Arial Narrow" w:hAnsi="Arial Narrow" w:cs="Arial"/>
                <w:bCs/>
                <w:iCs/>
                <w:lang w:val="en-US"/>
              </w:rPr>
              <w:t xml:space="preserve">% (1) was </w:t>
            </w:r>
            <w:r w:rsidR="004F096A">
              <w:rPr>
                <w:rFonts w:ascii="Arial Narrow" w:hAnsi="Arial Narrow" w:cs="Arial"/>
                <w:bCs/>
                <w:iCs/>
                <w:lang w:val="en-US"/>
              </w:rPr>
              <w:t xml:space="preserve">not </w:t>
            </w:r>
            <w:r w:rsidR="000872B5" w:rsidRPr="000872B5">
              <w:rPr>
                <w:rFonts w:ascii="Arial Narrow" w:hAnsi="Arial Narrow" w:cs="Arial"/>
                <w:bCs/>
                <w:iCs/>
                <w:lang w:val="en-US"/>
              </w:rPr>
              <w:t>achieved</w:t>
            </w:r>
            <w:r w:rsidR="0023447C">
              <w:rPr>
                <w:rFonts w:ascii="Arial Narrow" w:hAnsi="Arial Narrow" w:cs="Arial"/>
                <w:bCs/>
                <w:iCs/>
                <w:lang w:val="en-US"/>
              </w:rPr>
              <w:t>.</w:t>
            </w:r>
          </w:p>
          <w:p w14:paraId="7C7D07EE" w14:textId="15118686" w:rsidR="00B47CD0" w:rsidRPr="00B47CD0" w:rsidRDefault="00B47CD0" w:rsidP="00B47CD0">
            <w:pPr>
              <w:spacing w:line="276" w:lineRule="auto"/>
              <w:rPr>
                <w:rFonts w:ascii="Arial Narrow" w:hAnsi="Arial Narrow" w:cs="Arial"/>
                <w:bCs/>
                <w:iCs/>
                <w:lang w:val="en-US"/>
              </w:rPr>
            </w:pPr>
            <w:r w:rsidRPr="00B47CD0">
              <w:rPr>
                <w:rFonts w:ascii="Arial Narrow" w:hAnsi="Arial Narrow" w:cs="Arial"/>
                <w:bCs/>
                <w:iCs/>
                <w:lang w:val="en-US"/>
              </w:rPr>
              <w:t>•</w:t>
            </w:r>
            <w:r w:rsidRPr="00B47CD0">
              <w:rPr>
                <w:rFonts w:ascii="Arial Narrow" w:hAnsi="Arial Narrow" w:cs="Arial"/>
                <w:bCs/>
                <w:iCs/>
                <w:lang w:val="en-US"/>
              </w:rPr>
              <w:tab/>
              <w:t xml:space="preserve">Programme 4: Development and Planning: </w:t>
            </w:r>
            <w:r w:rsidR="007E10C1">
              <w:rPr>
                <w:rFonts w:ascii="Arial Narrow" w:hAnsi="Arial Narrow" w:cs="Arial"/>
                <w:bCs/>
                <w:iCs/>
                <w:lang w:val="en-US"/>
              </w:rPr>
              <w:t xml:space="preserve">Planned to achieve </w:t>
            </w:r>
            <w:r w:rsidR="00AE146A">
              <w:rPr>
                <w:rFonts w:ascii="Arial Narrow" w:hAnsi="Arial Narrow" w:cs="Arial"/>
                <w:bCs/>
                <w:iCs/>
                <w:lang w:val="en-US"/>
              </w:rPr>
              <w:t>4</w:t>
            </w:r>
            <w:r w:rsidR="007E10C1" w:rsidRPr="007E10C1">
              <w:rPr>
                <w:rFonts w:ascii="Arial Narrow" w:hAnsi="Arial Narrow" w:cs="Arial"/>
                <w:bCs/>
                <w:iCs/>
                <w:lang w:val="en-US"/>
              </w:rPr>
              <w:t xml:space="preserve"> </w:t>
            </w:r>
            <w:r w:rsidR="004265BA" w:rsidRPr="007E10C1">
              <w:rPr>
                <w:rFonts w:ascii="Arial Narrow" w:hAnsi="Arial Narrow" w:cs="Arial"/>
                <w:bCs/>
                <w:iCs/>
                <w:lang w:val="en-US"/>
              </w:rPr>
              <w:t xml:space="preserve">targets </w:t>
            </w:r>
            <w:r w:rsidR="004265BA" w:rsidRPr="00B47CD0">
              <w:rPr>
                <w:rFonts w:ascii="Arial Narrow" w:hAnsi="Arial Narrow" w:cs="Arial"/>
                <w:bCs/>
                <w:iCs/>
                <w:lang w:val="en-US"/>
              </w:rPr>
              <w:t>and</w:t>
            </w:r>
            <w:r w:rsidR="005F7D7C">
              <w:rPr>
                <w:rFonts w:ascii="Arial Narrow" w:hAnsi="Arial Narrow" w:cs="Arial"/>
                <w:bCs/>
                <w:iCs/>
                <w:lang w:val="en-US"/>
              </w:rPr>
              <w:t xml:space="preserve"> </w:t>
            </w:r>
            <w:r w:rsidR="004265BA">
              <w:rPr>
                <w:rFonts w:ascii="Arial Narrow" w:hAnsi="Arial Narrow" w:cs="Arial"/>
                <w:bCs/>
                <w:iCs/>
                <w:lang w:val="en-US"/>
              </w:rPr>
              <w:t>all 4</w:t>
            </w:r>
            <w:r w:rsidR="005F7D7C">
              <w:rPr>
                <w:rFonts w:ascii="Arial Narrow" w:hAnsi="Arial Narrow" w:cs="Arial"/>
                <w:bCs/>
                <w:iCs/>
                <w:lang w:val="en-US"/>
              </w:rPr>
              <w:t xml:space="preserve"> were achieved </w:t>
            </w:r>
            <w:r w:rsidR="001C1B27">
              <w:rPr>
                <w:rFonts w:ascii="Arial Narrow" w:hAnsi="Arial Narrow" w:cs="Arial"/>
                <w:bCs/>
                <w:iCs/>
                <w:lang w:val="en-US"/>
              </w:rPr>
              <w:t>(</w:t>
            </w:r>
            <w:r w:rsidR="005F7D7C">
              <w:rPr>
                <w:rFonts w:ascii="Arial Narrow" w:hAnsi="Arial Narrow" w:cs="Arial"/>
                <w:bCs/>
                <w:iCs/>
                <w:lang w:val="en-US"/>
              </w:rPr>
              <w:t>100</w:t>
            </w:r>
            <w:r w:rsidR="001C1B27">
              <w:rPr>
                <w:rFonts w:ascii="Arial Narrow" w:hAnsi="Arial Narrow" w:cs="Arial"/>
                <w:bCs/>
                <w:iCs/>
                <w:lang w:val="en-US"/>
              </w:rPr>
              <w:t>%</w:t>
            </w:r>
            <w:r w:rsidR="00481E38">
              <w:rPr>
                <w:rFonts w:ascii="Arial Narrow" w:hAnsi="Arial Narrow" w:cs="Arial"/>
                <w:bCs/>
                <w:iCs/>
                <w:lang w:val="en-US"/>
              </w:rPr>
              <w:t>)</w:t>
            </w:r>
            <w:r w:rsidRPr="00B47CD0">
              <w:rPr>
                <w:rFonts w:ascii="Arial Narrow" w:hAnsi="Arial Narrow" w:cs="Arial"/>
                <w:bCs/>
                <w:iCs/>
                <w:lang w:val="en-US"/>
              </w:rPr>
              <w:t xml:space="preserve">. </w:t>
            </w:r>
          </w:p>
          <w:p w14:paraId="5864A3B6" w14:textId="1DDEB32C" w:rsidR="006547D2" w:rsidRPr="001619AC" w:rsidRDefault="00B47CD0" w:rsidP="00B47CD0">
            <w:pPr>
              <w:spacing w:line="276" w:lineRule="auto"/>
              <w:rPr>
                <w:rFonts w:ascii="Arial" w:hAnsi="Arial" w:cs="Arial"/>
                <w:bCs/>
                <w:iCs/>
              </w:rPr>
            </w:pPr>
            <w:r w:rsidRPr="00B47CD0">
              <w:rPr>
                <w:rFonts w:ascii="Arial Narrow" w:hAnsi="Arial Narrow" w:cs="Arial"/>
                <w:bCs/>
                <w:iCs/>
                <w:lang w:val="en-US"/>
              </w:rPr>
              <w:t>•</w:t>
            </w:r>
            <w:r w:rsidRPr="00B47CD0">
              <w:rPr>
                <w:rFonts w:ascii="Arial Narrow" w:hAnsi="Arial Narrow" w:cs="Arial"/>
                <w:bCs/>
                <w:iCs/>
                <w:lang w:val="en-US"/>
              </w:rPr>
              <w:tab/>
              <w:t xml:space="preserve">Programme 5: Traditional Leadership: </w:t>
            </w:r>
            <w:r w:rsidR="00BF2375">
              <w:rPr>
                <w:rFonts w:ascii="Arial Narrow" w:hAnsi="Arial Narrow" w:cs="Arial"/>
                <w:bCs/>
                <w:iCs/>
                <w:lang w:val="en-US"/>
              </w:rPr>
              <w:t xml:space="preserve">Planned to achieve </w:t>
            </w:r>
            <w:r w:rsidR="00481E38">
              <w:rPr>
                <w:rFonts w:ascii="Arial Narrow" w:hAnsi="Arial Narrow" w:cs="Arial"/>
                <w:bCs/>
                <w:iCs/>
                <w:lang w:val="en-US"/>
              </w:rPr>
              <w:t xml:space="preserve">1 </w:t>
            </w:r>
            <w:r w:rsidR="00BF2375">
              <w:rPr>
                <w:rFonts w:ascii="Arial Narrow" w:hAnsi="Arial Narrow" w:cs="Arial"/>
                <w:bCs/>
                <w:iCs/>
                <w:lang w:val="en-US"/>
              </w:rPr>
              <w:t>targets</w:t>
            </w:r>
            <w:r w:rsidR="004E7E3F">
              <w:rPr>
                <w:rFonts w:ascii="Arial Narrow" w:hAnsi="Arial Narrow" w:cs="Arial"/>
                <w:bCs/>
                <w:iCs/>
                <w:lang w:val="en-US"/>
              </w:rPr>
              <w:t xml:space="preserve"> and</w:t>
            </w:r>
            <w:r w:rsidRPr="00B47CD0">
              <w:rPr>
                <w:rFonts w:ascii="Arial Narrow" w:hAnsi="Arial Narrow" w:cs="Arial"/>
                <w:bCs/>
                <w:iCs/>
                <w:lang w:val="en-US"/>
              </w:rPr>
              <w:t>100</w:t>
            </w:r>
            <w:r w:rsidR="004265BA" w:rsidRPr="00B47CD0">
              <w:rPr>
                <w:rFonts w:ascii="Arial Narrow" w:hAnsi="Arial Narrow" w:cs="Arial"/>
                <w:bCs/>
                <w:iCs/>
                <w:lang w:val="en-US"/>
              </w:rPr>
              <w:t>% was</w:t>
            </w:r>
            <w:r w:rsidRPr="00B47CD0">
              <w:rPr>
                <w:rFonts w:ascii="Arial Narrow" w:hAnsi="Arial Narrow" w:cs="Arial"/>
                <w:bCs/>
                <w:iCs/>
                <w:lang w:val="en-US"/>
              </w:rPr>
              <w:t xml:space="preserve"> achieved </w:t>
            </w:r>
          </w:p>
        </w:tc>
      </w:tr>
      <w:tr w:rsidR="00600AFA" w:rsidRPr="001619AC" w14:paraId="4C479154" w14:textId="77777777" w:rsidTr="00035362">
        <w:tc>
          <w:tcPr>
            <w:tcW w:w="5000" w:type="pct"/>
            <w:shd w:val="clear" w:color="auto" w:fill="F2DBDB" w:themeFill="accent2" w:themeFillTint="33"/>
          </w:tcPr>
          <w:p w14:paraId="3D9D07F8" w14:textId="5221FFA4" w:rsidR="00600AFA" w:rsidRPr="001619AC" w:rsidRDefault="00600AFA" w:rsidP="000F7DFB">
            <w:pPr>
              <w:rPr>
                <w:rFonts w:ascii="Arial Narrow" w:hAnsi="Arial Narrow" w:cs="Arial Narrow"/>
                <w:bCs/>
                <w:i/>
                <w:iCs/>
              </w:rPr>
            </w:pPr>
            <w:r w:rsidRPr="001619AC">
              <w:rPr>
                <w:rFonts w:ascii="Arial Narrow" w:hAnsi="Arial Narrow" w:cs="Arial Narrow"/>
                <w:bCs/>
                <w:i/>
                <w:iCs/>
              </w:rPr>
              <w:t xml:space="preserve">An analysis on whether (and if so, the extent to which) the </w:t>
            </w:r>
            <w:r w:rsidR="00D74068" w:rsidRPr="001619AC">
              <w:rPr>
                <w:rFonts w:ascii="Arial Narrow" w:hAnsi="Arial Narrow" w:cs="Arial Narrow"/>
                <w:bCs/>
                <w:i/>
                <w:iCs/>
              </w:rPr>
              <w:t xml:space="preserve">Department / Entity </w:t>
            </w:r>
            <w:r w:rsidRPr="001619AC">
              <w:rPr>
                <w:rFonts w:ascii="Arial Narrow" w:hAnsi="Arial Narrow" w:cs="Arial Narrow"/>
                <w:bCs/>
                <w:i/>
                <w:iCs/>
              </w:rPr>
              <w:t>Programmes / Projects are indeed achieving its Strategic Objectives / Service Delivery Outcomes for the period under review.</w:t>
            </w:r>
          </w:p>
        </w:tc>
      </w:tr>
      <w:tr w:rsidR="00600AFA" w:rsidRPr="001619AC" w14:paraId="42BFF47F" w14:textId="77777777" w:rsidTr="00035362">
        <w:tc>
          <w:tcPr>
            <w:tcW w:w="5000" w:type="pct"/>
          </w:tcPr>
          <w:p w14:paraId="1C55C611" w14:textId="6CDDA3DB" w:rsidR="00152D57" w:rsidRPr="00152D57" w:rsidRDefault="00546607" w:rsidP="00152D57">
            <w:pPr>
              <w:spacing w:line="276" w:lineRule="auto"/>
              <w:rPr>
                <w:rFonts w:ascii="Arial Narrow" w:hAnsi="Arial Narrow" w:cs="Arial"/>
                <w:noProof/>
              </w:rPr>
            </w:pPr>
            <w:r w:rsidRPr="00546607">
              <w:rPr>
                <w:rFonts w:ascii="Arial Narrow" w:hAnsi="Arial Narrow" w:cs="Arial"/>
                <w:noProof/>
              </w:rPr>
              <w:t xml:space="preserve">The Portfolio Committee noted </w:t>
            </w:r>
            <w:r w:rsidR="00AB797E">
              <w:rPr>
                <w:rFonts w:ascii="Arial Narrow" w:hAnsi="Arial Narrow" w:cs="Arial"/>
                <w:noProof/>
              </w:rPr>
              <w:t xml:space="preserve">that </w:t>
            </w:r>
            <w:r w:rsidR="00152D57">
              <w:rPr>
                <w:rFonts w:ascii="Arial Narrow" w:hAnsi="Arial Narrow" w:cs="Arial"/>
                <w:noProof/>
              </w:rPr>
              <w:t xml:space="preserve">with regards to </w:t>
            </w:r>
            <w:r w:rsidR="00152D57" w:rsidRPr="00152D57">
              <w:rPr>
                <w:rFonts w:ascii="Arial Narrow" w:hAnsi="Arial Narrow" w:cs="Arial"/>
                <w:noProof/>
              </w:rPr>
              <w:t>Municipal Finance Support</w:t>
            </w:r>
            <w:r w:rsidR="00152D57">
              <w:rPr>
                <w:rFonts w:ascii="Arial Narrow" w:hAnsi="Arial Narrow" w:cs="Arial"/>
                <w:noProof/>
              </w:rPr>
              <w:t xml:space="preserve">- </w:t>
            </w:r>
            <w:r w:rsidR="00072454">
              <w:rPr>
                <w:rFonts w:ascii="Arial Narrow" w:hAnsi="Arial Narrow" w:cs="Arial"/>
                <w:noProof/>
              </w:rPr>
              <w:t>i</w:t>
            </w:r>
            <w:r w:rsidR="00152D57" w:rsidRPr="00152D57">
              <w:rPr>
                <w:rFonts w:ascii="Arial Narrow" w:hAnsi="Arial Narrow" w:cs="Arial"/>
                <w:noProof/>
              </w:rPr>
              <w:t>n assisting municipalities, in conjunction with the Gauteng Treasury</w:t>
            </w:r>
            <w:r w:rsidR="00072454">
              <w:rPr>
                <w:rFonts w:ascii="Arial Narrow" w:hAnsi="Arial Narrow" w:cs="Arial"/>
                <w:noProof/>
              </w:rPr>
              <w:t xml:space="preserve">, the Department </w:t>
            </w:r>
            <w:r w:rsidR="00152D57" w:rsidRPr="00152D57">
              <w:rPr>
                <w:rFonts w:ascii="Arial Narrow" w:hAnsi="Arial Narrow" w:cs="Arial"/>
                <w:noProof/>
              </w:rPr>
              <w:t xml:space="preserve">established a Debt Management Committee (DMC), to facilitate a process of resolving Government Debts as an Inter-Governmental Relations intervention between the Organs of State. </w:t>
            </w:r>
          </w:p>
          <w:p w14:paraId="27C4C4D5" w14:textId="219C361F" w:rsidR="006547D2" w:rsidRPr="001619AC" w:rsidRDefault="00152D57" w:rsidP="00152D57">
            <w:pPr>
              <w:spacing w:line="276" w:lineRule="auto"/>
              <w:rPr>
                <w:rFonts w:ascii="Arial Narrow" w:hAnsi="Arial Narrow" w:cs="Arial"/>
                <w:bCs/>
              </w:rPr>
            </w:pPr>
            <w:r w:rsidRPr="00152D57">
              <w:rPr>
                <w:rFonts w:ascii="Arial Narrow" w:hAnsi="Arial Narrow" w:cs="Arial"/>
                <w:noProof/>
              </w:rPr>
              <w:t>The DMC is responsible for implementing the Government Debt Strategy. The implementation of the Government Debt strategy is implemented through the Quarterly DMC engagements and weekly working session. The DMC managed to assist the CoT municipality to collect R 123 828 693.00 for August 2023 from Government Departments.</w:t>
            </w:r>
          </w:p>
        </w:tc>
      </w:tr>
      <w:tr w:rsidR="00600AFA" w:rsidRPr="001619AC" w14:paraId="5FE31961" w14:textId="77777777" w:rsidTr="00035362">
        <w:tc>
          <w:tcPr>
            <w:tcW w:w="5000" w:type="pct"/>
            <w:shd w:val="clear" w:color="auto" w:fill="F2DBDB" w:themeFill="accent2" w:themeFillTint="33"/>
          </w:tcPr>
          <w:p w14:paraId="52A29A71" w14:textId="5D78A34D" w:rsidR="006149D2" w:rsidRPr="001619AC" w:rsidRDefault="00D74068" w:rsidP="000F7DFB">
            <w:pPr>
              <w:rPr>
                <w:rFonts w:ascii="Arial Narrow" w:hAnsi="Arial Narrow"/>
                <w:b/>
                <w:i/>
                <w:iCs/>
              </w:rPr>
            </w:pPr>
            <w:r w:rsidRPr="001619AC">
              <w:rPr>
                <w:rFonts w:ascii="Arial Narrow" w:hAnsi="Arial Narrow"/>
                <w:b/>
                <w:i/>
                <w:iCs/>
              </w:rPr>
              <w:t>Department / Entity</w:t>
            </w:r>
            <w:r w:rsidR="006149D2" w:rsidRPr="001619AC">
              <w:rPr>
                <w:rFonts w:ascii="Arial Narrow" w:hAnsi="Arial Narrow"/>
                <w:b/>
                <w:i/>
                <w:iCs/>
              </w:rPr>
              <w:t xml:space="preserve"> Project Management</w:t>
            </w:r>
          </w:p>
          <w:p w14:paraId="3791652C" w14:textId="22A670CA" w:rsidR="00600AFA" w:rsidRPr="001619AC" w:rsidRDefault="00600AFA" w:rsidP="000F7DFB">
            <w:pPr>
              <w:rPr>
                <w:rFonts w:ascii="Arial Narrow" w:hAnsi="Arial Narrow"/>
                <w:bCs/>
                <w:i/>
                <w:iCs/>
              </w:rPr>
            </w:pPr>
            <w:r w:rsidRPr="001619AC">
              <w:rPr>
                <w:rFonts w:ascii="Arial Narrow" w:hAnsi="Arial Narrow"/>
                <w:bCs/>
                <w:i/>
                <w:iCs/>
              </w:rPr>
              <w:t xml:space="preserve">Overall Summary on management and delivery of </w:t>
            </w:r>
            <w:r w:rsidR="00D74068" w:rsidRPr="001619AC">
              <w:rPr>
                <w:rFonts w:ascii="Arial Narrow" w:hAnsi="Arial Narrow"/>
                <w:bCs/>
                <w:i/>
                <w:iCs/>
              </w:rPr>
              <w:t>Department / Entity</w:t>
            </w:r>
            <w:r w:rsidRPr="001619AC">
              <w:rPr>
                <w:rFonts w:ascii="Arial Narrow" w:hAnsi="Arial Narrow"/>
                <w:bCs/>
                <w:i/>
                <w:iCs/>
              </w:rPr>
              <w:t xml:space="preserve"> Projects</w:t>
            </w:r>
          </w:p>
        </w:tc>
      </w:tr>
      <w:tr w:rsidR="00600AFA" w:rsidRPr="001619AC" w14:paraId="147CA178" w14:textId="77777777" w:rsidTr="00035362">
        <w:tc>
          <w:tcPr>
            <w:tcW w:w="5000" w:type="pct"/>
            <w:shd w:val="clear" w:color="auto" w:fill="FFFFFF" w:themeFill="background1"/>
          </w:tcPr>
          <w:p w14:paraId="2A7B3871" w14:textId="6FB2FAB8" w:rsidR="00600AFA" w:rsidRPr="001619AC" w:rsidRDefault="00DC44B1" w:rsidP="00F81DCB">
            <w:pPr>
              <w:spacing w:line="276" w:lineRule="auto"/>
              <w:rPr>
                <w:rFonts w:ascii="Arial Narrow" w:hAnsi="Arial Narrow"/>
                <w:bCs/>
              </w:rPr>
            </w:pPr>
            <w:r w:rsidRPr="001619AC">
              <w:rPr>
                <w:rFonts w:ascii="Arial Narrow" w:hAnsi="Arial Narrow" w:cs="Arial"/>
                <w:bCs/>
              </w:rPr>
              <w:t xml:space="preserve">The </w:t>
            </w:r>
            <w:r w:rsidR="0090350B">
              <w:rPr>
                <w:rFonts w:ascii="Arial Narrow" w:hAnsi="Arial Narrow" w:cs="Arial"/>
                <w:bCs/>
              </w:rPr>
              <w:t>D</w:t>
            </w:r>
            <w:r w:rsidR="00290B79" w:rsidRPr="001619AC">
              <w:rPr>
                <w:rFonts w:ascii="Arial Narrow" w:hAnsi="Arial Narrow" w:cs="Arial"/>
                <w:bCs/>
              </w:rPr>
              <w:t>epartment did not report on project management</w:t>
            </w:r>
            <w:r w:rsidRPr="001619AC">
              <w:rPr>
                <w:rFonts w:ascii="Arial Narrow" w:hAnsi="Arial Narrow"/>
                <w:bCs/>
              </w:rPr>
              <w:t xml:space="preserve">.  </w:t>
            </w:r>
          </w:p>
          <w:p w14:paraId="212B482D" w14:textId="79C58B3A" w:rsidR="00F81DCB" w:rsidRPr="001619AC" w:rsidRDefault="00F81DCB" w:rsidP="00F81DCB">
            <w:pPr>
              <w:spacing w:line="276" w:lineRule="auto"/>
              <w:rPr>
                <w:rFonts w:ascii="Arial Narrow" w:hAnsi="Arial Narrow"/>
                <w:bCs/>
              </w:rPr>
            </w:pPr>
          </w:p>
        </w:tc>
      </w:tr>
      <w:tr w:rsidR="00600AFA" w:rsidRPr="001619AC" w14:paraId="7FD1D36E" w14:textId="77777777" w:rsidTr="00035362">
        <w:tc>
          <w:tcPr>
            <w:tcW w:w="5000" w:type="pct"/>
            <w:shd w:val="clear" w:color="auto" w:fill="F2DBDB" w:themeFill="accent2" w:themeFillTint="33"/>
          </w:tcPr>
          <w:p w14:paraId="0C37299C" w14:textId="77777777" w:rsidR="006149D2" w:rsidRPr="001619AC" w:rsidRDefault="006149D2" w:rsidP="000F7DFB">
            <w:pPr>
              <w:rPr>
                <w:rFonts w:ascii="Arial Narrow" w:hAnsi="Arial Narrow"/>
                <w:b/>
                <w:i/>
                <w:iCs/>
              </w:rPr>
            </w:pPr>
            <w:r w:rsidRPr="001619AC">
              <w:rPr>
                <w:rFonts w:ascii="Arial Narrow" w:hAnsi="Arial Narrow"/>
                <w:b/>
                <w:i/>
                <w:iCs/>
              </w:rPr>
              <w:t>Financial Performance</w:t>
            </w:r>
          </w:p>
          <w:p w14:paraId="4E53CC4F" w14:textId="0195BEFA" w:rsidR="00600AFA" w:rsidRPr="001619AC" w:rsidRDefault="00600AFA" w:rsidP="000F7DFB">
            <w:pPr>
              <w:rPr>
                <w:rFonts w:ascii="Arial Narrow" w:hAnsi="Arial Narrow"/>
                <w:bCs/>
                <w:i/>
                <w:iCs/>
              </w:rPr>
            </w:pPr>
            <w:r w:rsidRPr="001619AC">
              <w:rPr>
                <w:rFonts w:ascii="Arial Narrow" w:hAnsi="Arial Narrow"/>
                <w:bCs/>
                <w:i/>
                <w:iCs/>
              </w:rPr>
              <w:t xml:space="preserve">An overall Summary of whether the Committee thinks the </w:t>
            </w:r>
            <w:r w:rsidR="00D74068" w:rsidRPr="001619AC">
              <w:rPr>
                <w:rFonts w:ascii="Arial Narrow" w:hAnsi="Arial Narrow"/>
                <w:bCs/>
                <w:i/>
                <w:iCs/>
              </w:rPr>
              <w:t xml:space="preserve">Department / Entity </w:t>
            </w:r>
            <w:r w:rsidRPr="001619AC">
              <w:rPr>
                <w:rFonts w:ascii="Arial Narrow" w:hAnsi="Arial Narrow"/>
                <w:bCs/>
                <w:i/>
                <w:iCs/>
              </w:rPr>
              <w:t>Financial Performance is sound and prudent</w:t>
            </w:r>
          </w:p>
        </w:tc>
      </w:tr>
      <w:tr w:rsidR="00600AFA" w:rsidRPr="001619AC" w14:paraId="68820B17" w14:textId="77777777" w:rsidTr="00035362">
        <w:tc>
          <w:tcPr>
            <w:tcW w:w="5000" w:type="pct"/>
            <w:shd w:val="clear" w:color="auto" w:fill="FFFFFF" w:themeFill="background1"/>
          </w:tcPr>
          <w:p w14:paraId="3E6FCBD7" w14:textId="0FC32BD7" w:rsidR="00230B0A" w:rsidRPr="00230B0A" w:rsidRDefault="00230B0A" w:rsidP="00230B0A">
            <w:pPr>
              <w:spacing w:line="276" w:lineRule="auto"/>
              <w:rPr>
                <w:rFonts w:ascii="Arial Narrow" w:hAnsi="Arial Narrow" w:cs="Arial"/>
                <w:bCs/>
              </w:rPr>
            </w:pPr>
            <w:r w:rsidRPr="00230B0A">
              <w:rPr>
                <w:rFonts w:ascii="Arial Narrow" w:hAnsi="Arial Narrow" w:cs="Arial"/>
                <w:bCs/>
              </w:rPr>
              <w:t xml:space="preserve">The </w:t>
            </w:r>
            <w:r w:rsidR="00152D57" w:rsidRPr="00230B0A">
              <w:rPr>
                <w:rFonts w:ascii="Arial Narrow" w:hAnsi="Arial Narrow" w:cs="Arial"/>
                <w:bCs/>
              </w:rPr>
              <w:t>Department’s total</w:t>
            </w:r>
            <w:r w:rsidRPr="00230B0A">
              <w:rPr>
                <w:rFonts w:ascii="Arial Narrow" w:hAnsi="Arial Narrow" w:cs="Arial"/>
                <w:bCs/>
              </w:rPr>
              <w:t xml:space="preserve"> expenditure </w:t>
            </w:r>
            <w:r w:rsidR="00CB2B11">
              <w:rPr>
                <w:rFonts w:ascii="Arial Narrow" w:hAnsi="Arial Narrow" w:cs="Arial"/>
                <w:bCs/>
              </w:rPr>
              <w:t>on the</w:t>
            </w:r>
            <w:r w:rsidR="003E0CA4">
              <w:rPr>
                <w:rFonts w:ascii="Arial Narrow" w:hAnsi="Arial Narrow" w:cs="Arial"/>
                <w:bCs/>
              </w:rPr>
              <w:t xml:space="preserve"> 2</w:t>
            </w:r>
            <w:r w:rsidR="00784C81" w:rsidRPr="003E0CA4">
              <w:rPr>
                <w:rFonts w:ascii="Arial Narrow" w:hAnsi="Arial Narrow" w:cs="Arial"/>
                <w:bCs/>
                <w:vertAlign w:val="superscript"/>
              </w:rPr>
              <w:t>nd</w:t>
            </w:r>
            <w:r w:rsidR="00784C81">
              <w:rPr>
                <w:rFonts w:ascii="Arial Narrow" w:hAnsi="Arial Narrow" w:cs="Arial"/>
                <w:bCs/>
              </w:rPr>
              <w:t xml:space="preserve"> quarter</w:t>
            </w:r>
            <w:r w:rsidR="00CB2B11">
              <w:rPr>
                <w:rFonts w:ascii="Arial Narrow" w:hAnsi="Arial Narrow" w:cs="Arial"/>
                <w:bCs/>
              </w:rPr>
              <w:t xml:space="preserve"> </w:t>
            </w:r>
            <w:r w:rsidRPr="00230B0A">
              <w:rPr>
                <w:rFonts w:ascii="Arial Narrow" w:hAnsi="Arial Narrow" w:cs="Arial"/>
                <w:bCs/>
              </w:rPr>
              <w:t xml:space="preserve">was at </w:t>
            </w:r>
            <w:r w:rsidR="00F02E84">
              <w:rPr>
                <w:rFonts w:ascii="Arial Narrow" w:hAnsi="Arial Narrow" w:cs="Arial"/>
                <w:bCs/>
              </w:rPr>
              <w:t>47</w:t>
            </w:r>
            <w:r w:rsidR="00141B32" w:rsidRPr="00230B0A">
              <w:rPr>
                <w:rFonts w:ascii="Arial Narrow" w:hAnsi="Arial Narrow" w:cs="Arial"/>
                <w:bCs/>
              </w:rPr>
              <w:t>%.</w:t>
            </w:r>
          </w:p>
          <w:p w14:paraId="61EBD7E9" w14:textId="7DCFA435"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Administration was at </w:t>
            </w:r>
            <w:r w:rsidR="00213A5E">
              <w:rPr>
                <w:rFonts w:ascii="Arial Narrow" w:hAnsi="Arial Narrow" w:cs="Arial"/>
                <w:bCs/>
                <w:lang w:val="en-US"/>
              </w:rPr>
              <w:t>50</w:t>
            </w:r>
            <w:r w:rsidRPr="00230B0A">
              <w:rPr>
                <w:rFonts w:ascii="Arial Narrow" w:hAnsi="Arial Narrow" w:cs="Arial"/>
                <w:bCs/>
                <w:lang w:val="en-US"/>
              </w:rPr>
              <w:t xml:space="preserve">% during the quarter under </w:t>
            </w:r>
            <w:r w:rsidR="00141B32" w:rsidRPr="00230B0A">
              <w:rPr>
                <w:rFonts w:ascii="Arial Narrow" w:hAnsi="Arial Narrow" w:cs="Arial"/>
                <w:bCs/>
                <w:lang w:val="en-US"/>
              </w:rPr>
              <w:t>review.</w:t>
            </w:r>
          </w:p>
          <w:p w14:paraId="2FC6F98F" w14:textId="2A55208D"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Local Governance was at </w:t>
            </w:r>
            <w:r w:rsidR="00213A5E">
              <w:rPr>
                <w:rFonts w:ascii="Arial Narrow" w:hAnsi="Arial Narrow" w:cs="Arial"/>
                <w:bCs/>
                <w:lang w:val="en-US"/>
              </w:rPr>
              <w:t>45</w:t>
            </w:r>
            <w:r w:rsidR="00141B32" w:rsidRPr="00230B0A">
              <w:rPr>
                <w:rFonts w:ascii="Arial Narrow" w:hAnsi="Arial Narrow" w:cs="Arial"/>
                <w:bCs/>
                <w:lang w:val="en-US"/>
              </w:rPr>
              <w:t>%.</w:t>
            </w:r>
            <w:r w:rsidRPr="00230B0A">
              <w:rPr>
                <w:rFonts w:ascii="Arial Narrow" w:hAnsi="Arial Narrow" w:cs="Arial"/>
                <w:bCs/>
                <w:lang w:val="en-US"/>
              </w:rPr>
              <w:t xml:space="preserve"> </w:t>
            </w:r>
          </w:p>
          <w:p w14:paraId="7F60BCB6" w14:textId="4CB3420C"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Development </w:t>
            </w:r>
            <w:r w:rsidR="00141B32" w:rsidRPr="00230B0A">
              <w:rPr>
                <w:rFonts w:ascii="Arial Narrow" w:hAnsi="Arial Narrow" w:cs="Arial"/>
                <w:bCs/>
                <w:lang w:val="en-US"/>
              </w:rPr>
              <w:t>Planning was</w:t>
            </w:r>
            <w:r w:rsidRPr="00230B0A">
              <w:rPr>
                <w:rFonts w:ascii="Arial Narrow" w:hAnsi="Arial Narrow" w:cs="Arial"/>
                <w:bCs/>
                <w:lang w:val="en-US"/>
              </w:rPr>
              <w:t xml:space="preserve"> at </w:t>
            </w:r>
            <w:r w:rsidR="00213A5E">
              <w:rPr>
                <w:rFonts w:ascii="Arial Narrow" w:hAnsi="Arial Narrow" w:cs="Arial"/>
                <w:bCs/>
                <w:lang w:val="en-US"/>
              </w:rPr>
              <w:t>51</w:t>
            </w:r>
            <w:r w:rsidR="00141B32" w:rsidRPr="00230B0A">
              <w:rPr>
                <w:rFonts w:ascii="Arial Narrow" w:hAnsi="Arial Narrow" w:cs="Arial"/>
                <w:bCs/>
                <w:lang w:val="en-US"/>
              </w:rPr>
              <w:t>%.</w:t>
            </w:r>
            <w:r w:rsidRPr="00230B0A">
              <w:rPr>
                <w:rFonts w:ascii="Arial Narrow" w:hAnsi="Arial Narrow" w:cs="Arial"/>
                <w:bCs/>
                <w:lang w:val="en-US"/>
              </w:rPr>
              <w:t xml:space="preserve"> </w:t>
            </w:r>
          </w:p>
          <w:p w14:paraId="3D34832F" w14:textId="10FB0B41"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Traditional Institutional Management was at </w:t>
            </w:r>
            <w:r w:rsidR="00213A5E">
              <w:rPr>
                <w:rFonts w:ascii="Arial Narrow" w:hAnsi="Arial Narrow" w:cs="Arial"/>
                <w:bCs/>
                <w:lang w:val="en-US"/>
              </w:rPr>
              <w:t>28</w:t>
            </w:r>
            <w:r w:rsidRPr="00230B0A">
              <w:rPr>
                <w:rFonts w:ascii="Arial Narrow" w:hAnsi="Arial Narrow" w:cs="Arial"/>
                <w:bCs/>
                <w:lang w:val="en-US"/>
              </w:rPr>
              <w:t xml:space="preserve">%. </w:t>
            </w:r>
          </w:p>
          <w:p w14:paraId="22997FA9" w14:textId="06755B6E"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compensation of employees was at </w:t>
            </w:r>
            <w:r w:rsidR="00B966B4">
              <w:rPr>
                <w:rFonts w:ascii="Arial Narrow" w:hAnsi="Arial Narrow" w:cs="Arial"/>
                <w:bCs/>
                <w:lang w:val="en-US"/>
              </w:rPr>
              <w:t>4</w:t>
            </w:r>
            <w:r w:rsidR="00D42B92">
              <w:rPr>
                <w:rFonts w:ascii="Arial Narrow" w:hAnsi="Arial Narrow" w:cs="Arial"/>
                <w:bCs/>
                <w:lang w:val="en-US"/>
              </w:rPr>
              <w:t>4</w:t>
            </w:r>
            <w:r w:rsidR="00141B32" w:rsidRPr="00230B0A">
              <w:rPr>
                <w:rFonts w:ascii="Arial Narrow" w:hAnsi="Arial Narrow" w:cs="Arial"/>
                <w:bCs/>
                <w:lang w:val="en-US"/>
              </w:rPr>
              <w:t>%.</w:t>
            </w:r>
          </w:p>
          <w:p w14:paraId="75C34B36" w14:textId="0B16B266"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 xml:space="preserve">Expenditure on goods and services was at </w:t>
            </w:r>
            <w:r w:rsidR="00F37206">
              <w:rPr>
                <w:rFonts w:ascii="Arial Narrow" w:hAnsi="Arial Narrow" w:cs="Arial"/>
                <w:bCs/>
                <w:lang w:val="en-US"/>
              </w:rPr>
              <w:t>5</w:t>
            </w:r>
            <w:r w:rsidR="00245C51">
              <w:rPr>
                <w:rFonts w:ascii="Arial Narrow" w:hAnsi="Arial Narrow" w:cs="Arial"/>
                <w:bCs/>
                <w:lang w:val="en-US"/>
              </w:rPr>
              <w:t>0</w:t>
            </w:r>
            <w:r w:rsidRPr="00230B0A">
              <w:rPr>
                <w:rFonts w:ascii="Arial Narrow" w:hAnsi="Arial Narrow" w:cs="Arial"/>
                <w:bCs/>
                <w:lang w:val="en-US"/>
              </w:rPr>
              <w:t>%; and</w:t>
            </w:r>
          </w:p>
          <w:p w14:paraId="60294822" w14:textId="22CCF493" w:rsidR="00230B0A" w:rsidRPr="00230B0A" w:rsidRDefault="00230B0A" w:rsidP="00230B0A">
            <w:pPr>
              <w:spacing w:line="276" w:lineRule="auto"/>
              <w:rPr>
                <w:rFonts w:ascii="Arial Narrow" w:hAnsi="Arial Narrow" w:cs="Arial"/>
                <w:bCs/>
              </w:rPr>
            </w:pPr>
            <w:r w:rsidRPr="00230B0A">
              <w:rPr>
                <w:rFonts w:ascii="Arial Narrow" w:hAnsi="Arial Narrow" w:cs="Arial"/>
                <w:bCs/>
                <w:lang w:val="en-US"/>
              </w:rPr>
              <w:t>Expenditure on households was at 1</w:t>
            </w:r>
            <w:r w:rsidR="00F37206">
              <w:rPr>
                <w:rFonts w:ascii="Arial Narrow" w:hAnsi="Arial Narrow" w:cs="Arial"/>
                <w:bCs/>
                <w:lang w:val="en-US"/>
              </w:rPr>
              <w:t>37</w:t>
            </w:r>
            <w:r w:rsidRPr="00230B0A">
              <w:rPr>
                <w:rFonts w:ascii="Arial Narrow" w:hAnsi="Arial Narrow" w:cs="Arial"/>
                <w:bCs/>
                <w:lang w:val="en-US"/>
              </w:rPr>
              <w:t xml:space="preserve">% and machinery and equipment </w:t>
            </w:r>
            <w:r w:rsidR="00152D57" w:rsidRPr="00230B0A">
              <w:rPr>
                <w:rFonts w:ascii="Arial Narrow" w:hAnsi="Arial Narrow" w:cs="Arial"/>
                <w:bCs/>
                <w:lang w:val="en-US"/>
              </w:rPr>
              <w:t>w</w:t>
            </w:r>
            <w:r w:rsidR="00152D57">
              <w:rPr>
                <w:rFonts w:ascii="Arial Narrow" w:hAnsi="Arial Narrow" w:cs="Arial"/>
                <w:bCs/>
                <w:lang w:val="en-US"/>
              </w:rPr>
              <w:t>ere</w:t>
            </w:r>
            <w:r w:rsidR="00141B32">
              <w:rPr>
                <w:rFonts w:ascii="Arial Narrow" w:hAnsi="Arial Narrow" w:cs="Arial"/>
                <w:bCs/>
                <w:lang w:val="en-US"/>
              </w:rPr>
              <w:t xml:space="preserve"> </w:t>
            </w:r>
            <w:r w:rsidRPr="00230B0A">
              <w:rPr>
                <w:rFonts w:ascii="Arial Narrow" w:hAnsi="Arial Narrow" w:cs="Arial"/>
                <w:bCs/>
                <w:lang w:val="en-US"/>
              </w:rPr>
              <w:t xml:space="preserve">at </w:t>
            </w:r>
            <w:r w:rsidR="00E106C0">
              <w:rPr>
                <w:rFonts w:ascii="Arial Narrow" w:hAnsi="Arial Narrow" w:cs="Arial"/>
                <w:bCs/>
                <w:lang w:val="en-US"/>
              </w:rPr>
              <w:t>37</w:t>
            </w:r>
            <w:r w:rsidRPr="00230B0A">
              <w:rPr>
                <w:rFonts w:ascii="Arial Narrow" w:hAnsi="Arial Narrow" w:cs="Arial"/>
                <w:bCs/>
                <w:lang w:val="en-US"/>
              </w:rPr>
              <w:t>%.</w:t>
            </w:r>
          </w:p>
          <w:p w14:paraId="7A429CB0" w14:textId="2AC12163" w:rsidR="00600AFA" w:rsidRPr="001619AC" w:rsidRDefault="00600AFA" w:rsidP="00F81DCB">
            <w:pPr>
              <w:spacing w:line="276" w:lineRule="auto"/>
              <w:rPr>
                <w:rFonts w:ascii="Arial Narrow" w:hAnsi="Arial Narrow"/>
                <w:bCs/>
              </w:rPr>
            </w:pPr>
          </w:p>
        </w:tc>
      </w:tr>
      <w:tr w:rsidR="00600AFA" w:rsidRPr="001619AC" w14:paraId="05946C28" w14:textId="77777777" w:rsidTr="00035362">
        <w:tc>
          <w:tcPr>
            <w:tcW w:w="5000" w:type="pct"/>
            <w:shd w:val="clear" w:color="auto" w:fill="F2DBDB" w:themeFill="accent2" w:themeFillTint="33"/>
          </w:tcPr>
          <w:p w14:paraId="0866AEDD" w14:textId="77777777" w:rsidR="006149D2" w:rsidRPr="001619AC" w:rsidRDefault="006149D2" w:rsidP="000F7DFB">
            <w:pPr>
              <w:rPr>
                <w:rFonts w:ascii="Arial Narrow" w:hAnsi="Arial Narrow"/>
                <w:b/>
                <w:i/>
                <w:iCs/>
              </w:rPr>
            </w:pPr>
            <w:r w:rsidRPr="001619AC">
              <w:rPr>
                <w:rFonts w:ascii="Arial Narrow" w:hAnsi="Arial Narrow"/>
                <w:b/>
                <w:i/>
                <w:iCs/>
              </w:rPr>
              <w:t>Resolutions Management</w:t>
            </w:r>
          </w:p>
          <w:p w14:paraId="7B83AD18" w14:textId="79A28518" w:rsidR="00600AFA" w:rsidRPr="001619AC" w:rsidRDefault="00600AFA" w:rsidP="000F7DFB">
            <w:pPr>
              <w:rPr>
                <w:rFonts w:ascii="Arial Narrow" w:hAnsi="Arial Narrow"/>
                <w:bCs/>
                <w:i/>
                <w:iCs/>
              </w:rPr>
            </w:pPr>
            <w:r w:rsidRPr="001619AC">
              <w:rPr>
                <w:rFonts w:ascii="Arial Narrow" w:hAnsi="Arial Narrow"/>
                <w:bCs/>
                <w:i/>
                <w:iCs/>
              </w:rPr>
              <w:t xml:space="preserve">An overall Summary of the Committee’s assessment of </w:t>
            </w:r>
            <w:r w:rsidR="00D74068" w:rsidRPr="001619AC">
              <w:rPr>
                <w:rFonts w:ascii="Arial Narrow" w:hAnsi="Arial Narrow"/>
                <w:bCs/>
                <w:i/>
                <w:iCs/>
              </w:rPr>
              <w:t>Department / Entity</w:t>
            </w:r>
            <w:r w:rsidRPr="001619AC">
              <w:rPr>
                <w:rFonts w:ascii="Arial Narrow" w:hAnsi="Arial Narrow"/>
                <w:bCs/>
                <w:i/>
                <w:iCs/>
              </w:rPr>
              <w:t xml:space="preserve"> Resolutions Management</w:t>
            </w:r>
          </w:p>
        </w:tc>
      </w:tr>
      <w:tr w:rsidR="00600AFA" w:rsidRPr="001619AC" w14:paraId="44131D5D" w14:textId="77777777" w:rsidTr="00035362">
        <w:tc>
          <w:tcPr>
            <w:tcW w:w="5000" w:type="pct"/>
            <w:shd w:val="clear" w:color="auto" w:fill="FFFFFF" w:themeFill="background1"/>
          </w:tcPr>
          <w:p w14:paraId="3F308961" w14:textId="581C5D8D" w:rsidR="00600AFA" w:rsidRPr="001619AC" w:rsidRDefault="00376F29" w:rsidP="001D5197">
            <w:pPr>
              <w:rPr>
                <w:rFonts w:ascii="Arial Narrow" w:hAnsi="Arial Narrow" w:cs="Arial"/>
                <w:bCs/>
              </w:rPr>
            </w:pPr>
            <w:r w:rsidRPr="001619AC">
              <w:rPr>
                <w:rFonts w:ascii="Arial Narrow" w:hAnsi="Arial Narrow" w:cs="Arial"/>
                <w:bCs/>
              </w:rPr>
              <w:t xml:space="preserve">The </w:t>
            </w:r>
            <w:r w:rsidR="005B3EC4">
              <w:rPr>
                <w:rFonts w:ascii="Arial Narrow" w:hAnsi="Arial Narrow" w:cs="Arial"/>
                <w:bCs/>
              </w:rPr>
              <w:t>Department   report</w:t>
            </w:r>
            <w:r w:rsidR="00397BDE">
              <w:rPr>
                <w:rFonts w:ascii="Arial Narrow" w:hAnsi="Arial Narrow" w:cs="Arial"/>
                <w:bCs/>
              </w:rPr>
              <w:t>ed</w:t>
            </w:r>
            <w:r w:rsidR="005B3EC4">
              <w:rPr>
                <w:rFonts w:ascii="Arial Narrow" w:hAnsi="Arial Narrow" w:cs="Arial"/>
                <w:bCs/>
              </w:rPr>
              <w:t xml:space="preserve"> on the Committee Resolutions</w:t>
            </w:r>
            <w:r w:rsidR="005F57E2" w:rsidRPr="001619AC">
              <w:rPr>
                <w:rFonts w:ascii="Arial Narrow" w:hAnsi="Arial Narrow" w:cs="Arial"/>
                <w:bCs/>
              </w:rPr>
              <w:t>.</w:t>
            </w:r>
            <w:r w:rsidR="00D80D5D">
              <w:rPr>
                <w:rFonts w:ascii="Arial Narrow" w:hAnsi="Arial Narrow" w:cs="Arial"/>
                <w:bCs/>
              </w:rPr>
              <w:t xml:space="preserve"> The were 10 resolutions to be responded to.  </w:t>
            </w:r>
            <w:r w:rsidR="005F57E2" w:rsidRPr="001619AC">
              <w:rPr>
                <w:rFonts w:ascii="Arial Narrow" w:hAnsi="Arial Narrow" w:cs="Arial"/>
                <w:bCs/>
              </w:rPr>
              <w:t xml:space="preserve"> </w:t>
            </w:r>
          </w:p>
        </w:tc>
      </w:tr>
      <w:tr w:rsidR="00600AFA" w:rsidRPr="001619AC" w14:paraId="07815282" w14:textId="77777777" w:rsidTr="00035362">
        <w:tc>
          <w:tcPr>
            <w:tcW w:w="5000" w:type="pct"/>
            <w:shd w:val="clear" w:color="auto" w:fill="F2DBDB" w:themeFill="accent2" w:themeFillTint="33"/>
          </w:tcPr>
          <w:p w14:paraId="030625DE" w14:textId="77777777" w:rsidR="006149D2" w:rsidRPr="001619AC" w:rsidRDefault="006149D2" w:rsidP="000F7DFB">
            <w:pPr>
              <w:rPr>
                <w:rFonts w:ascii="Arial Narrow" w:hAnsi="Arial Narrow"/>
                <w:b/>
                <w:i/>
                <w:iCs/>
              </w:rPr>
            </w:pPr>
            <w:r w:rsidRPr="001619AC">
              <w:rPr>
                <w:rFonts w:ascii="Arial Narrow" w:hAnsi="Arial Narrow"/>
                <w:b/>
                <w:i/>
                <w:iCs/>
              </w:rPr>
              <w:t>Petitions Management</w:t>
            </w:r>
          </w:p>
          <w:p w14:paraId="2BE83D38" w14:textId="1CEC476B" w:rsidR="00600AFA" w:rsidRPr="001619AC" w:rsidRDefault="00600AFA" w:rsidP="000F7DFB">
            <w:pPr>
              <w:rPr>
                <w:rFonts w:ascii="Arial Narrow" w:hAnsi="Arial Narrow"/>
                <w:bCs/>
                <w:i/>
                <w:iCs/>
              </w:rPr>
            </w:pPr>
            <w:r w:rsidRPr="001619AC">
              <w:rPr>
                <w:rFonts w:ascii="Arial Narrow" w:hAnsi="Arial Narrow"/>
                <w:bCs/>
                <w:i/>
                <w:iCs/>
              </w:rPr>
              <w:t xml:space="preserve">An overall Summary of the Committee’s assessment of </w:t>
            </w:r>
            <w:r w:rsidR="00D74068" w:rsidRPr="001619AC">
              <w:rPr>
                <w:rFonts w:ascii="Arial Narrow" w:hAnsi="Arial Narrow"/>
                <w:bCs/>
                <w:i/>
                <w:iCs/>
              </w:rPr>
              <w:t xml:space="preserve">Department / Entity </w:t>
            </w:r>
            <w:r w:rsidRPr="001619AC">
              <w:rPr>
                <w:rFonts w:ascii="Arial Narrow" w:hAnsi="Arial Narrow"/>
                <w:bCs/>
                <w:i/>
                <w:iCs/>
              </w:rPr>
              <w:t>Petitions Management</w:t>
            </w:r>
          </w:p>
        </w:tc>
      </w:tr>
      <w:tr w:rsidR="00600AFA" w:rsidRPr="001619AC" w14:paraId="1175433B" w14:textId="77777777" w:rsidTr="00035362">
        <w:tc>
          <w:tcPr>
            <w:tcW w:w="5000" w:type="pct"/>
            <w:shd w:val="clear" w:color="auto" w:fill="FFFFFF" w:themeFill="background1"/>
          </w:tcPr>
          <w:p w14:paraId="45C77F8E" w14:textId="35C5D7D1" w:rsidR="00600AFA" w:rsidRPr="001619AC" w:rsidRDefault="001D3C22" w:rsidP="00935CC6">
            <w:pPr>
              <w:rPr>
                <w:rFonts w:ascii="Arial Narrow" w:hAnsi="Arial Narrow" w:cs="Arial"/>
                <w:bCs/>
              </w:rPr>
            </w:pPr>
            <w:r>
              <w:rPr>
                <w:rFonts w:ascii="Arial Narrow" w:hAnsi="Arial Narrow" w:cs="Arial"/>
                <w:bCs/>
              </w:rPr>
              <w:t>The Department did not report on the Petitions Management</w:t>
            </w:r>
          </w:p>
        </w:tc>
      </w:tr>
      <w:tr w:rsidR="00600AFA" w:rsidRPr="001619AC" w14:paraId="21F843EC" w14:textId="77777777" w:rsidTr="00035362">
        <w:tc>
          <w:tcPr>
            <w:tcW w:w="5000" w:type="pct"/>
            <w:shd w:val="clear" w:color="auto" w:fill="F2DBDB" w:themeFill="accent2" w:themeFillTint="33"/>
          </w:tcPr>
          <w:p w14:paraId="28D2DC58" w14:textId="77777777" w:rsidR="006149D2" w:rsidRPr="001619AC" w:rsidRDefault="006149D2" w:rsidP="000F7DFB">
            <w:pPr>
              <w:rPr>
                <w:rFonts w:ascii="Arial Narrow" w:hAnsi="Arial Narrow"/>
                <w:b/>
                <w:i/>
                <w:iCs/>
              </w:rPr>
            </w:pPr>
            <w:r w:rsidRPr="001619AC">
              <w:rPr>
                <w:rFonts w:ascii="Arial Narrow" w:hAnsi="Arial Narrow"/>
                <w:b/>
                <w:i/>
                <w:iCs/>
              </w:rPr>
              <w:t>Public Engagements</w:t>
            </w:r>
          </w:p>
          <w:p w14:paraId="043FE31B" w14:textId="5BDEFF46" w:rsidR="00600AFA" w:rsidRPr="001619AC" w:rsidRDefault="00600AFA" w:rsidP="000F7DFB">
            <w:pPr>
              <w:rPr>
                <w:rFonts w:ascii="Arial Narrow" w:hAnsi="Arial Narrow"/>
                <w:bCs/>
                <w:i/>
                <w:iCs/>
              </w:rPr>
            </w:pPr>
            <w:r w:rsidRPr="001619AC">
              <w:rPr>
                <w:rFonts w:ascii="Arial Narrow" w:hAnsi="Arial Narrow"/>
                <w:bCs/>
                <w:i/>
                <w:iCs/>
              </w:rPr>
              <w:t xml:space="preserve">An overall Summary of the Committee’s assessment of </w:t>
            </w:r>
            <w:r w:rsidR="00D74068" w:rsidRPr="001619AC">
              <w:rPr>
                <w:rFonts w:ascii="Arial Narrow" w:hAnsi="Arial Narrow"/>
                <w:bCs/>
                <w:i/>
                <w:iCs/>
              </w:rPr>
              <w:t xml:space="preserve">Department / Entity </w:t>
            </w:r>
            <w:r w:rsidRPr="001619AC">
              <w:rPr>
                <w:rFonts w:ascii="Arial Narrow" w:hAnsi="Arial Narrow"/>
                <w:bCs/>
                <w:i/>
                <w:iCs/>
              </w:rPr>
              <w:t>Public Engagements</w:t>
            </w:r>
          </w:p>
        </w:tc>
      </w:tr>
      <w:tr w:rsidR="00600AFA" w:rsidRPr="001619AC" w14:paraId="35C91C74" w14:textId="77777777" w:rsidTr="00035362">
        <w:tc>
          <w:tcPr>
            <w:tcW w:w="5000" w:type="pct"/>
            <w:shd w:val="clear" w:color="auto" w:fill="FFFFFF" w:themeFill="background1"/>
          </w:tcPr>
          <w:p w14:paraId="6CDB57ED" w14:textId="27DD3A8C" w:rsidR="00600AFA" w:rsidRPr="00976D3E" w:rsidRDefault="000365A5" w:rsidP="00976D3E">
            <w:pPr>
              <w:numPr>
                <w:ilvl w:val="0"/>
                <w:numId w:val="6"/>
              </w:numPr>
              <w:rPr>
                <w:rFonts w:ascii="Arial Narrow" w:hAnsi="Arial Narrow" w:cs="Arial"/>
                <w:bCs/>
              </w:rPr>
            </w:pPr>
            <w:r>
              <w:rPr>
                <w:rFonts w:ascii="Arial Narrow" w:hAnsi="Arial Narrow" w:cs="Arial"/>
                <w:bCs/>
              </w:rPr>
              <w:t xml:space="preserve">The Department did not report on the Public </w:t>
            </w:r>
            <w:r w:rsidR="00976D3E">
              <w:rPr>
                <w:rFonts w:ascii="Arial Narrow" w:hAnsi="Arial Narrow" w:cs="Arial"/>
                <w:bCs/>
              </w:rPr>
              <w:t>Engagements.</w:t>
            </w:r>
          </w:p>
        </w:tc>
      </w:tr>
      <w:tr w:rsidR="00600AFA" w:rsidRPr="001619AC" w14:paraId="38E9C65E" w14:textId="77777777" w:rsidTr="00035362">
        <w:trPr>
          <w:tblHeader/>
        </w:trPr>
        <w:tc>
          <w:tcPr>
            <w:tcW w:w="5000" w:type="pct"/>
            <w:shd w:val="clear" w:color="auto" w:fill="F2DBDB" w:themeFill="accent2" w:themeFillTint="33"/>
          </w:tcPr>
          <w:p w14:paraId="28F2D893" w14:textId="77777777" w:rsidR="006149D2" w:rsidRPr="001619AC" w:rsidRDefault="006149D2" w:rsidP="000F7DFB">
            <w:pPr>
              <w:rPr>
                <w:rFonts w:ascii="Arial Narrow" w:hAnsi="Arial Narrow" w:cs="Arial"/>
                <w:b/>
                <w:bCs/>
                <w:i/>
                <w:iCs/>
                <w:lang w:val="en-US"/>
              </w:rPr>
            </w:pPr>
            <w:r w:rsidRPr="001619AC">
              <w:rPr>
                <w:rFonts w:ascii="Arial Narrow" w:hAnsi="Arial Narrow" w:cs="Arial"/>
                <w:b/>
                <w:bCs/>
                <w:i/>
                <w:iCs/>
                <w:lang w:val="en-US"/>
              </w:rPr>
              <w:t>International Agreements</w:t>
            </w:r>
          </w:p>
          <w:p w14:paraId="5C97717E" w14:textId="0984D558" w:rsidR="00600AFA" w:rsidRPr="001619AC" w:rsidRDefault="00600AFA" w:rsidP="000F7DFB">
            <w:pPr>
              <w:rPr>
                <w:rFonts w:ascii="Arial Narrow" w:hAnsi="Arial Narrow" w:cs="Arial"/>
                <w:i/>
                <w:iCs/>
                <w:lang w:val="en-US"/>
              </w:rPr>
            </w:pPr>
            <w:r w:rsidRPr="001619AC">
              <w:rPr>
                <w:rFonts w:ascii="Arial Narrow" w:hAnsi="Arial Narrow" w:cs="Arial"/>
                <w:i/>
                <w:iCs/>
                <w:lang w:val="en-US"/>
              </w:rPr>
              <w:t xml:space="preserve">Overall Summary on </w:t>
            </w:r>
            <w:r w:rsidR="00D74068" w:rsidRPr="001619AC">
              <w:rPr>
                <w:rFonts w:ascii="Arial Narrow" w:hAnsi="Arial Narrow" w:cs="Arial"/>
                <w:i/>
                <w:iCs/>
                <w:lang w:val="en-US"/>
              </w:rPr>
              <w:t>Department / Entity</w:t>
            </w:r>
            <w:r w:rsidRPr="001619AC">
              <w:rPr>
                <w:rFonts w:ascii="Arial Narrow" w:hAnsi="Arial Narrow" w:cs="Arial"/>
                <w:i/>
                <w:iCs/>
                <w:lang w:val="en-US"/>
              </w:rPr>
              <w:t xml:space="preserve"> implementation of relevant Internal Agreements / Treaties [Only if applicable] [</w:t>
            </w:r>
            <w:r w:rsidRPr="00604232">
              <w:rPr>
                <w:rFonts w:ascii="Arial Narrow" w:hAnsi="Arial Narrow" w:cs="Arial"/>
                <w:i/>
                <w:iCs/>
                <w:lang w:val="en-US"/>
              </w:rPr>
              <w:t xml:space="preserve">Applicable only to OCPOL / </w:t>
            </w:r>
            <w:proofErr w:type="spellStart"/>
            <w:r w:rsidRPr="00604232">
              <w:rPr>
                <w:rFonts w:ascii="Arial Narrow" w:hAnsi="Arial Narrow" w:cs="Arial"/>
                <w:i/>
                <w:iCs/>
                <w:lang w:val="en-US"/>
              </w:rPr>
              <w:t>OoP</w:t>
            </w:r>
            <w:proofErr w:type="spellEnd"/>
            <w:r w:rsidRPr="00604232">
              <w:rPr>
                <w:rFonts w:ascii="Arial Narrow" w:hAnsi="Arial Narrow" w:cs="Arial"/>
                <w:i/>
                <w:iCs/>
                <w:lang w:val="en-US"/>
              </w:rPr>
              <w:t>]</w:t>
            </w:r>
          </w:p>
        </w:tc>
      </w:tr>
      <w:tr w:rsidR="001619AC" w:rsidRPr="001619AC" w14:paraId="7A31E4BF" w14:textId="77777777" w:rsidTr="00035362">
        <w:tblPrEx>
          <w:jc w:val="center"/>
          <w:tblInd w:w="0" w:type="dxa"/>
        </w:tblPrEx>
        <w:trPr>
          <w:trHeight w:val="70"/>
          <w:jc w:val="center"/>
        </w:trPr>
        <w:tc>
          <w:tcPr>
            <w:tcW w:w="5000" w:type="pct"/>
            <w:shd w:val="clear" w:color="auto" w:fill="auto"/>
          </w:tcPr>
          <w:p w14:paraId="69EE68A8" w14:textId="50D6089D" w:rsidR="00600AFA" w:rsidRPr="001619AC" w:rsidRDefault="00600AFA" w:rsidP="006C757B">
            <w:pPr>
              <w:rPr>
                <w:rFonts w:ascii="Arial Narrow" w:hAnsi="Arial Narrow" w:cs="Arial"/>
              </w:rPr>
            </w:pPr>
            <w:r w:rsidRPr="001619AC">
              <w:rPr>
                <w:rFonts w:ascii="Arial Narrow" w:hAnsi="Arial Narrow" w:cs="Arial"/>
              </w:rPr>
              <w:t>[</w:t>
            </w:r>
            <w:r w:rsidR="006E3BC2" w:rsidRPr="001619AC">
              <w:rPr>
                <w:rFonts w:ascii="Arial Narrow" w:hAnsi="Arial Narrow" w:cs="Arial"/>
              </w:rPr>
              <w:t xml:space="preserve">The department did not report on the </w:t>
            </w:r>
            <w:r w:rsidR="00152D57" w:rsidRPr="001619AC">
              <w:rPr>
                <w:rFonts w:ascii="Arial Narrow" w:hAnsi="Arial Narrow" w:cs="Arial"/>
              </w:rPr>
              <w:t>international</w:t>
            </w:r>
            <w:r w:rsidR="006E3BC2" w:rsidRPr="001619AC">
              <w:rPr>
                <w:rFonts w:ascii="Arial Narrow" w:hAnsi="Arial Narrow" w:cs="Arial"/>
              </w:rPr>
              <w:t xml:space="preserve"> agreements</w:t>
            </w:r>
            <w:r w:rsidRPr="001619AC">
              <w:rPr>
                <w:rFonts w:ascii="Arial Narrow" w:hAnsi="Arial Narrow" w:cs="Arial"/>
              </w:rPr>
              <w:t>]</w:t>
            </w:r>
          </w:p>
        </w:tc>
      </w:tr>
      <w:tr w:rsidR="00600AFA" w:rsidRPr="001619AC" w14:paraId="123B43AF" w14:textId="77777777" w:rsidTr="00035362">
        <w:tc>
          <w:tcPr>
            <w:tcW w:w="5000" w:type="pct"/>
            <w:shd w:val="clear" w:color="auto" w:fill="F2DBDB" w:themeFill="accent2" w:themeFillTint="33"/>
          </w:tcPr>
          <w:p w14:paraId="2A32504F" w14:textId="77777777" w:rsidR="006149D2" w:rsidRPr="001619AC" w:rsidRDefault="006149D2" w:rsidP="000F7DFB">
            <w:pPr>
              <w:rPr>
                <w:rFonts w:ascii="Arial Narrow" w:hAnsi="Arial Narrow"/>
                <w:b/>
                <w:i/>
                <w:iCs/>
              </w:rPr>
            </w:pPr>
            <w:r w:rsidRPr="001619AC">
              <w:rPr>
                <w:rFonts w:ascii="Arial Narrow" w:hAnsi="Arial Narrow"/>
                <w:b/>
                <w:i/>
                <w:iCs/>
              </w:rPr>
              <w:t>GEYODI Empowerment</w:t>
            </w:r>
          </w:p>
          <w:p w14:paraId="5A0879F3" w14:textId="438C7B03" w:rsidR="00600AFA" w:rsidRPr="001619AC" w:rsidRDefault="00600AFA" w:rsidP="000F7DFB">
            <w:pPr>
              <w:rPr>
                <w:rFonts w:ascii="Arial Narrow" w:hAnsi="Arial Narrow"/>
                <w:bCs/>
                <w:i/>
                <w:iCs/>
              </w:rPr>
            </w:pPr>
            <w:r w:rsidRPr="001619AC">
              <w:rPr>
                <w:rFonts w:ascii="Arial Narrow" w:hAnsi="Arial Narrow"/>
                <w:bCs/>
                <w:i/>
                <w:iCs/>
              </w:rPr>
              <w:t xml:space="preserve">Overall Summary on </w:t>
            </w:r>
            <w:r w:rsidR="00D74068" w:rsidRPr="001619AC">
              <w:rPr>
                <w:rFonts w:ascii="Arial Narrow" w:hAnsi="Arial Narrow"/>
                <w:bCs/>
                <w:i/>
                <w:iCs/>
              </w:rPr>
              <w:t>Department / Entity</w:t>
            </w:r>
            <w:r w:rsidRPr="001619AC">
              <w:rPr>
                <w:rFonts w:ascii="Arial Narrow" w:hAnsi="Arial Narrow"/>
                <w:bCs/>
                <w:i/>
                <w:iCs/>
              </w:rPr>
              <w:t xml:space="preserve"> achievement on actual GEYODI empowerment in communities</w:t>
            </w:r>
          </w:p>
        </w:tc>
      </w:tr>
      <w:tr w:rsidR="005C530E" w:rsidRPr="001619AC" w14:paraId="7FFFA137" w14:textId="77777777" w:rsidTr="00EE0228">
        <w:trPr>
          <w:trHeight w:val="463"/>
        </w:trPr>
        <w:tc>
          <w:tcPr>
            <w:tcW w:w="5000" w:type="pct"/>
            <w:shd w:val="clear" w:color="auto" w:fill="FFFFFF" w:themeFill="background1"/>
          </w:tcPr>
          <w:p w14:paraId="42B6F5C7" w14:textId="72904FCB" w:rsidR="00723AE8" w:rsidRPr="006425E6" w:rsidRDefault="00EA202D" w:rsidP="006425E6">
            <w:pPr>
              <w:spacing w:after="200" w:line="276" w:lineRule="auto"/>
              <w:rPr>
                <w:rFonts w:ascii="Arial Narrow" w:eastAsiaTheme="minorEastAsia" w:hAnsi="Arial Narrow" w:cs="Arial"/>
                <w:bCs/>
                <w:iCs/>
                <w:lang w:eastAsia="en-ZA"/>
              </w:rPr>
            </w:pPr>
            <w:r w:rsidRPr="00EA202D">
              <w:rPr>
                <w:rFonts w:ascii="Arial Narrow" w:eastAsiaTheme="minorEastAsia" w:hAnsi="Arial Narrow" w:cs="Arial"/>
                <w:bCs/>
                <w:iCs/>
                <w:lang w:eastAsia="en-ZA"/>
              </w:rPr>
              <w:t>The Department repor</w:t>
            </w:r>
            <w:r w:rsidR="008615D7">
              <w:rPr>
                <w:rFonts w:ascii="Arial Narrow" w:eastAsiaTheme="minorEastAsia" w:hAnsi="Arial Narrow" w:cs="Arial"/>
                <w:bCs/>
                <w:iCs/>
                <w:lang w:eastAsia="en-ZA"/>
              </w:rPr>
              <w:t>t</w:t>
            </w:r>
            <w:r w:rsidR="00C41EA9">
              <w:rPr>
                <w:rFonts w:ascii="Arial Narrow" w:eastAsiaTheme="minorEastAsia" w:hAnsi="Arial Narrow" w:cs="Arial"/>
                <w:bCs/>
                <w:iCs/>
                <w:lang w:eastAsia="en-ZA"/>
              </w:rPr>
              <w:t>ed</w:t>
            </w:r>
            <w:r w:rsidR="008615D7">
              <w:rPr>
                <w:rFonts w:ascii="Arial Narrow" w:eastAsiaTheme="minorEastAsia" w:hAnsi="Arial Narrow" w:cs="Arial"/>
                <w:bCs/>
                <w:iCs/>
                <w:lang w:eastAsia="en-ZA"/>
              </w:rPr>
              <w:t xml:space="preserve"> on</w:t>
            </w:r>
            <w:r w:rsidRPr="00EA202D">
              <w:rPr>
                <w:rFonts w:ascii="Arial Narrow" w:eastAsiaTheme="minorEastAsia" w:hAnsi="Arial Narrow" w:cs="Arial"/>
                <w:bCs/>
                <w:iCs/>
                <w:lang w:eastAsia="en-ZA"/>
              </w:rPr>
              <w:t xml:space="preserve"> GEYODI empowermen</w:t>
            </w:r>
            <w:r w:rsidR="00EE0228">
              <w:rPr>
                <w:rFonts w:ascii="Arial Narrow" w:eastAsiaTheme="minorEastAsia" w:hAnsi="Arial Narrow" w:cs="Arial"/>
                <w:bCs/>
                <w:iCs/>
                <w:lang w:eastAsia="en-ZA"/>
              </w:rPr>
              <w:t>t in Communities</w:t>
            </w:r>
            <w:r w:rsidR="00C41EA9">
              <w:rPr>
                <w:rFonts w:ascii="Arial Narrow" w:eastAsiaTheme="minorEastAsia" w:hAnsi="Arial Narrow" w:cs="Arial"/>
                <w:bCs/>
                <w:iCs/>
                <w:lang w:eastAsia="en-ZA"/>
              </w:rPr>
              <w:t xml:space="preserve"> of </w:t>
            </w:r>
            <w:r w:rsidR="00152D57" w:rsidRPr="00152D57">
              <w:rPr>
                <w:rFonts w:ascii="Arial Narrow" w:eastAsiaTheme="minorEastAsia" w:hAnsi="Arial Narrow" w:cs="Arial"/>
                <w:bCs/>
                <w:iCs/>
                <w:lang w:eastAsia="en-ZA"/>
              </w:rPr>
              <w:t>19 800 women</w:t>
            </w:r>
            <w:r w:rsidR="00152D57">
              <w:rPr>
                <w:rFonts w:ascii="Arial Narrow" w:eastAsiaTheme="minorEastAsia" w:hAnsi="Arial Narrow" w:cs="Arial"/>
                <w:bCs/>
                <w:iCs/>
                <w:lang w:eastAsia="en-ZA"/>
              </w:rPr>
              <w:t xml:space="preserve"> </w:t>
            </w:r>
            <w:r w:rsidR="00C41EA9" w:rsidRPr="00C41EA9">
              <w:rPr>
                <w:rFonts w:ascii="Arial Narrow" w:eastAsiaTheme="minorEastAsia" w:hAnsi="Arial Narrow" w:cs="Arial"/>
                <w:bCs/>
                <w:iCs/>
                <w:lang w:eastAsia="en-ZA"/>
              </w:rPr>
              <w:t>in CWP and EPWP Programme</w:t>
            </w:r>
            <w:r w:rsidR="006C422D">
              <w:rPr>
                <w:rFonts w:ascii="Arial Narrow" w:eastAsiaTheme="minorEastAsia" w:hAnsi="Arial Narrow" w:cs="Arial"/>
                <w:bCs/>
                <w:iCs/>
                <w:lang w:eastAsia="en-ZA"/>
              </w:rPr>
              <w:t xml:space="preserve">; </w:t>
            </w:r>
            <w:r w:rsidR="00152D57" w:rsidRPr="00152D57">
              <w:rPr>
                <w:rFonts w:ascii="Arial Narrow" w:eastAsiaTheme="minorEastAsia" w:hAnsi="Arial Narrow" w:cs="Arial"/>
                <w:bCs/>
                <w:iCs/>
                <w:lang w:eastAsia="en-ZA"/>
              </w:rPr>
              <w:t>5</w:t>
            </w:r>
            <w:r w:rsidR="00152D57">
              <w:rPr>
                <w:rFonts w:ascii="Arial Narrow" w:eastAsiaTheme="minorEastAsia" w:hAnsi="Arial Narrow" w:cs="Arial"/>
                <w:bCs/>
                <w:iCs/>
                <w:lang w:eastAsia="en-ZA"/>
              </w:rPr>
              <w:t> </w:t>
            </w:r>
            <w:r w:rsidR="00152D57" w:rsidRPr="00152D57">
              <w:rPr>
                <w:rFonts w:ascii="Arial Narrow" w:eastAsiaTheme="minorEastAsia" w:hAnsi="Arial Narrow" w:cs="Arial"/>
                <w:bCs/>
                <w:iCs/>
                <w:lang w:eastAsia="en-ZA"/>
              </w:rPr>
              <w:t>307</w:t>
            </w:r>
            <w:r w:rsidR="00152D57">
              <w:rPr>
                <w:rFonts w:ascii="Arial Narrow" w:eastAsiaTheme="minorEastAsia" w:hAnsi="Arial Narrow" w:cs="Arial"/>
                <w:bCs/>
                <w:iCs/>
                <w:lang w:eastAsia="en-ZA"/>
              </w:rPr>
              <w:t xml:space="preserve"> </w:t>
            </w:r>
            <w:r w:rsidR="0088124A" w:rsidRPr="0088124A">
              <w:rPr>
                <w:rFonts w:ascii="Arial Narrow" w:eastAsiaTheme="minorEastAsia" w:hAnsi="Arial Narrow" w:cs="Arial"/>
                <w:bCs/>
                <w:iCs/>
                <w:lang w:eastAsia="en-ZA"/>
              </w:rPr>
              <w:t>Young People in CWP and EPWP</w:t>
            </w:r>
            <w:r w:rsidR="0088124A">
              <w:rPr>
                <w:rFonts w:ascii="Arial Narrow" w:eastAsiaTheme="minorEastAsia" w:hAnsi="Arial Narrow" w:cs="Arial"/>
                <w:bCs/>
                <w:iCs/>
                <w:lang w:eastAsia="en-ZA"/>
              </w:rPr>
              <w:t>;</w:t>
            </w:r>
            <w:r w:rsidR="00A72B4D">
              <w:t xml:space="preserve"> </w:t>
            </w:r>
            <w:r w:rsidR="00A72B4D" w:rsidRPr="00A72B4D">
              <w:rPr>
                <w:rFonts w:ascii="Arial Narrow" w:eastAsiaTheme="minorEastAsia" w:hAnsi="Arial Narrow" w:cs="Arial"/>
                <w:bCs/>
                <w:iCs/>
                <w:lang w:eastAsia="en-ZA"/>
              </w:rPr>
              <w:t>5</w:t>
            </w:r>
            <w:r w:rsidR="00152D57">
              <w:rPr>
                <w:rFonts w:ascii="Arial Narrow" w:eastAsiaTheme="minorEastAsia" w:hAnsi="Arial Narrow" w:cs="Arial"/>
                <w:bCs/>
                <w:iCs/>
                <w:lang w:eastAsia="en-ZA"/>
              </w:rPr>
              <w:t>36</w:t>
            </w:r>
            <w:r w:rsidR="00A72B4D" w:rsidRPr="00A72B4D">
              <w:rPr>
                <w:rFonts w:ascii="Arial Narrow" w:eastAsiaTheme="minorEastAsia" w:hAnsi="Arial Narrow" w:cs="Arial"/>
                <w:bCs/>
                <w:iCs/>
                <w:lang w:eastAsia="en-ZA"/>
              </w:rPr>
              <w:t xml:space="preserve"> Persons with Disabilities in CWP and EPWP</w:t>
            </w:r>
          </w:p>
        </w:tc>
      </w:tr>
      <w:tr w:rsidR="00600AFA" w:rsidRPr="001619AC" w14:paraId="4618922A" w14:textId="77777777" w:rsidTr="00035362">
        <w:tc>
          <w:tcPr>
            <w:tcW w:w="5000" w:type="pct"/>
            <w:shd w:val="clear" w:color="auto" w:fill="F2DBDB" w:themeFill="accent2" w:themeFillTint="33"/>
          </w:tcPr>
          <w:p w14:paraId="34F34DAA" w14:textId="60EBDF1E" w:rsidR="006149D2" w:rsidRPr="001619AC" w:rsidRDefault="006149D2" w:rsidP="000901F9">
            <w:pPr>
              <w:rPr>
                <w:rFonts w:ascii="Arial Narrow" w:hAnsi="Arial Narrow"/>
                <w:b/>
                <w:i/>
                <w:iCs/>
              </w:rPr>
            </w:pPr>
            <w:r w:rsidRPr="001619AC">
              <w:rPr>
                <w:rFonts w:ascii="Arial Narrow" w:hAnsi="Arial Narrow"/>
                <w:b/>
                <w:i/>
                <w:iCs/>
              </w:rPr>
              <w:t>Fiduciary Compliance</w:t>
            </w:r>
          </w:p>
          <w:p w14:paraId="7C75966B" w14:textId="6F68541C" w:rsidR="00600AFA" w:rsidRPr="001619AC" w:rsidRDefault="00600AFA" w:rsidP="000901F9">
            <w:pPr>
              <w:rPr>
                <w:rFonts w:ascii="Arial Narrow" w:hAnsi="Arial Narrow"/>
                <w:bCs/>
                <w:i/>
                <w:iCs/>
              </w:rPr>
            </w:pPr>
            <w:r w:rsidRPr="001619AC">
              <w:rPr>
                <w:rFonts w:ascii="Arial Narrow" w:hAnsi="Arial Narrow"/>
                <w:bCs/>
                <w:i/>
                <w:iCs/>
              </w:rPr>
              <w:t xml:space="preserve">Overall Summary on </w:t>
            </w:r>
            <w:r w:rsidR="00D74068" w:rsidRPr="001619AC">
              <w:rPr>
                <w:rFonts w:ascii="Arial Narrow" w:hAnsi="Arial Narrow"/>
                <w:bCs/>
                <w:i/>
                <w:iCs/>
              </w:rPr>
              <w:t>Department / Entity</w:t>
            </w:r>
            <w:r w:rsidRPr="001619AC">
              <w:rPr>
                <w:rFonts w:ascii="Arial Narrow" w:hAnsi="Arial Narrow"/>
                <w:bCs/>
                <w:i/>
                <w:iCs/>
              </w:rPr>
              <w:t xml:space="preserve"> Compliance </w:t>
            </w:r>
            <w:r w:rsidR="009B42A0" w:rsidRPr="001619AC">
              <w:rPr>
                <w:rFonts w:ascii="Arial Narrow" w:hAnsi="Arial Narrow"/>
                <w:bCs/>
                <w:i/>
                <w:iCs/>
              </w:rPr>
              <w:t>with fiduciary requirements</w:t>
            </w:r>
          </w:p>
        </w:tc>
      </w:tr>
      <w:tr w:rsidR="00600AFA" w:rsidRPr="001619AC" w14:paraId="44DC0D06" w14:textId="77777777" w:rsidTr="00035362">
        <w:tc>
          <w:tcPr>
            <w:tcW w:w="5000" w:type="pct"/>
            <w:shd w:val="clear" w:color="auto" w:fill="FFFFFF" w:themeFill="background1"/>
          </w:tcPr>
          <w:p w14:paraId="6D3C7EDE" w14:textId="01E6640B" w:rsidR="00387F73" w:rsidRPr="001619AC" w:rsidRDefault="005C530E" w:rsidP="00F81DCB">
            <w:pPr>
              <w:spacing w:line="276" w:lineRule="auto"/>
              <w:rPr>
                <w:rFonts w:ascii="Arial" w:hAnsi="Arial" w:cs="Arial"/>
                <w:bCs/>
              </w:rPr>
            </w:pPr>
            <w:r w:rsidRPr="001619AC">
              <w:rPr>
                <w:rFonts w:ascii="Arial Narrow" w:hAnsi="Arial Narrow" w:cs="Arial"/>
                <w:bCs/>
              </w:rPr>
              <w:t>The</w:t>
            </w:r>
            <w:r w:rsidR="00944C25" w:rsidRPr="001619AC">
              <w:rPr>
                <w:rFonts w:ascii="Arial Narrow" w:hAnsi="Arial Narrow" w:cs="Arial"/>
                <w:bCs/>
              </w:rPr>
              <w:t xml:space="preserve"> Department did not report </w:t>
            </w:r>
            <w:r w:rsidR="00EE0228">
              <w:rPr>
                <w:rFonts w:ascii="Arial Narrow" w:hAnsi="Arial Narrow" w:cs="Arial"/>
                <w:bCs/>
              </w:rPr>
              <w:t>on the Compliance with fiduciary requirements</w:t>
            </w:r>
          </w:p>
        </w:tc>
      </w:tr>
      <w:tr w:rsidR="009B42A0" w:rsidRPr="001619AC" w14:paraId="61E5EF46" w14:textId="77777777" w:rsidTr="00035362">
        <w:tc>
          <w:tcPr>
            <w:tcW w:w="5000" w:type="pct"/>
            <w:shd w:val="clear" w:color="auto" w:fill="F2DBDB" w:themeFill="accent2" w:themeFillTint="33"/>
          </w:tcPr>
          <w:p w14:paraId="62B6762C" w14:textId="27F0DB6B" w:rsidR="004830BF" w:rsidRPr="001619AC" w:rsidRDefault="004830BF" w:rsidP="000F7DFB">
            <w:pPr>
              <w:rPr>
                <w:rFonts w:ascii="Arial Narrow" w:hAnsi="Arial Narrow"/>
                <w:b/>
                <w:i/>
                <w:iCs/>
              </w:rPr>
            </w:pPr>
            <w:r w:rsidRPr="001619AC">
              <w:rPr>
                <w:rFonts w:ascii="Arial Narrow" w:hAnsi="Arial Narrow"/>
                <w:b/>
                <w:i/>
                <w:iCs/>
              </w:rPr>
              <w:t xml:space="preserve">Capacitated </w:t>
            </w:r>
            <w:r w:rsidR="00D74068" w:rsidRPr="001619AC">
              <w:rPr>
                <w:rFonts w:ascii="Arial Narrow" w:hAnsi="Arial Narrow"/>
                <w:b/>
                <w:i/>
                <w:iCs/>
              </w:rPr>
              <w:t>Department / Entity</w:t>
            </w:r>
          </w:p>
          <w:p w14:paraId="6EF5AC75" w14:textId="4DF7E794" w:rsidR="009B42A0" w:rsidRPr="001619AC" w:rsidRDefault="009B42A0" w:rsidP="000F7DFB">
            <w:pPr>
              <w:rPr>
                <w:rFonts w:ascii="Arial Narrow" w:hAnsi="Arial Narrow"/>
                <w:bCs/>
                <w:i/>
                <w:iCs/>
              </w:rPr>
            </w:pPr>
            <w:r w:rsidRPr="001619AC">
              <w:rPr>
                <w:rFonts w:ascii="Arial Narrow" w:hAnsi="Arial Narrow"/>
                <w:bCs/>
                <w:i/>
                <w:iCs/>
              </w:rPr>
              <w:t xml:space="preserve">An overall Summary of whether the Committee thinks the </w:t>
            </w:r>
            <w:r w:rsidR="00D74068" w:rsidRPr="001619AC">
              <w:rPr>
                <w:rFonts w:ascii="Arial Narrow" w:hAnsi="Arial Narrow"/>
                <w:bCs/>
                <w:i/>
                <w:iCs/>
              </w:rPr>
              <w:t>Department / Entity</w:t>
            </w:r>
            <w:r w:rsidRPr="001619AC">
              <w:rPr>
                <w:rFonts w:ascii="Arial Narrow" w:hAnsi="Arial Narrow"/>
                <w:bCs/>
                <w:i/>
                <w:iCs/>
              </w:rPr>
              <w:t xml:space="preserve"> is adequately capacitated and resourced to carry out its functions and discharge its mandates</w:t>
            </w:r>
          </w:p>
        </w:tc>
      </w:tr>
      <w:tr w:rsidR="009B42A0" w:rsidRPr="001619AC" w14:paraId="1DBEAE24" w14:textId="77777777" w:rsidTr="00035362">
        <w:tc>
          <w:tcPr>
            <w:tcW w:w="5000" w:type="pct"/>
            <w:shd w:val="clear" w:color="auto" w:fill="FFFFFF" w:themeFill="background1"/>
          </w:tcPr>
          <w:p w14:paraId="77DB0726" w14:textId="5A5A835F" w:rsidR="00A57926" w:rsidRPr="001619AC" w:rsidRDefault="00A57926" w:rsidP="00A57926">
            <w:pPr>
              <w:rPr>
                <w:rFonts w:ascii="Arial Narrow" w:hAnsi="Arial Narrow" w:cs="Arial"/>
                <w:bCs/>
              </w:rPr>
            </w:pPr>
            <w:r w:rsidRPr="001619AC">
              <w:rPr>
                <w:rFonts w:ascii="Arial Narrow" w:hAnsi="Arial Narrow" w:cs="Arial"/>
                <w:bCs/>
              </w:rPr>
              <w:t xml:space="preserve">The Committee has always been of the view that all Departmental critical vacant positions should be filled </w:t>
            </w:r>
            <w:r w:rsidR="00152D57" w:rsidRPr="001619AC">
              <w:rPr>
                <w:rFonts w:ascii="Arial Narrow" w:hAnsi="Arial Narrow" w:cs="Arial"/>
                <w:bCs/>
              </w:rPr>
              <w:t>to</w:t>
            </w:r>
            <w:r w:rsidRPr="001619AC">
              <w:rPr>
                <w:rFonts w:ascii="Arial Narrow" w:hAnsi="Arial Narrow" w:cs="Arial"/>
                <w:bCs/>
              </w:rPr>
              <w:t xml:space="preserve"> ensure that service delivery imperatives are attained. </w:t>
            </w:r>
          </w:p>
          <w:p w14:paraId="0F8C8B0A" w14:textId="60E5E3F4" w:rsidR="00FA1F7C" w:rsidRPr="001619AC" w:rsidRDefault="00944C25" w:rsidP="00A57926">
            <w:pPr>
              <w:rPr>
                <w:rFonts w:ascii="Arial Narrow" w:hAnsi="Arial Narrow" w:cs="Arial"/>
                <w:bCs/>
              </w:rPr>
            </w:pPr>
            <w:r w:rsidRPr="001619AC">
              <w:rPr>
                <w:rFonts w:ascii="Arial Narrow" w:hAnsi="Arial Narrow" w:cs="Arial"/>
                <w:bCs/>
              </w:rPr>
              <w:t xml:space="preserve"> </w:t>
            </w:r>
          </w:p>
        </w:tc>
      </w:tr>
      <w:tr w:rsidR="009B42A0" w:rsidRPr="001619AC" w14:paraId="4AC09FE1" w14:textId="77777777" w:rsidTr="00035362">
        <w:tc>
          <w:tcPr>
            <w:tcW w:w="5000" w:type="pct"/>
            <w:shd w:val="clear" w:color="auto" w:fill="F2DBDB" w:themeFill="accent2" w:themeFillTint="33"/>
          </w:tcPr>
          <w:p w14:paraId="4FD09162" w14:textId="77777777" w:rsidR="004830BF" w:rsidRPr="001619AC" w:rsidRDefault="004830BF" w:rsidP="000F7DFB">
            <w:pPr>
              <w:rPr>
                <w:rFonts w:ascii="Arial Narrow" w:hAnsi="Arial Narrow"/>
                <w:b/>
                <w:i/>
                <w:iCs/>
              </w:rPr>
            </w:pPr>
            <w:r w:rsidRPr="001619AC">
              <w:rPr>
                <w:rFonts w:ascii="Arial Narrow" w:hAnsi="Arial Narrow"/>
                <w:b/>
                <w:i/>
                <w:iCs/>
              </w:rPr>
              <w:t>Any other Committee Focus Area (if relevant / applicable and Requirement)</w:t>
            </w:r>
          </w:p>
          <w:p w14:paraId="7060C05D" w14:textId="3F6D5D9C" w:rsidR="009B42A0" w:rsidRPr="001619AC" w:rsidRDefault="009B42A0" w:rsidP="000F7DFB">
            <w:pPr>
              <w:tabs>
                <w:tab w:val="left" w:pos="12328"/>
              </w:tabs>
              <w:rPr>
                <w:rFonts w:ascii="Arial Narrow" w:hAnsi="Arial Narrow"/>
                <w:bCs/>
                <w:i/>
                <w:iCs/>
              </w:rPr>
            </w:pPr>
            <w:r w:rsidRPr="001619AC">
              <w:rPr>
                <w:rFonts w:ascii="Arial Narrow" w:hAnsi="Arial Narrow"/>
                <w:bCs/>
                <w:i/>
                <w:iCs/>
              </w:rPr>
              <w:t xml:space="preserve">High level summary of any other area of </w:t>
            </w:r>
            <w:r w:rsidR="00D74068" w:rsidRPr="001619AC">
              <w:rPr>
                <w:rFonts w:ascii="Arial Narrow" w:hAnsi="Arial Narrow"/>
                <w:bCs/>
                <w:i/>
                <w:iCs/>
              </w:rPr>
              <w:t>Department / Entity</w:t>
            </w:r>
            <w:r w:rsidRPr="001619AC">
              <w:rPr>
                <w:rFonts w:ascii="Arial Narrow" w:hAnsi="Arial Narrow"/>
                <w:bCs/>
                <w:i/>
                <w:iCs/>
              </w:rPr>
              <w:t xml:space="preserve"> performance with respect to its Quarter Report that the Committee wishes to report on, which is not already included in any of the above Focus Areas.</w:t>
            </w:r>
          </w:p>
        </w:tc>
      </w:tr>
      <w:tr w:rsidR="009B42A0" w:rsidRPr="001619AC" w14:paraId="537DE6EA" w14:textId="77777777" w:rsidTr="00035362">
        <w:tc>
          <w:tcPr>
            <w:tcW w:w="5000" w:type="pct"/>
          </w:tcPr>
          <w:p w14:paraId="79DDF7F2" w14:textId="7237B5BD" w:rsidR="009B42A0" w:rsidRPr="001619AC" w:rsidRDefault="007323C0" w:rsidP="006C757B">
            <w:pPr>
              <w:rPr>
                <w:rFonts w:ascii="Arial Narrow" w:hAnsi="Arial Narrow"/>
              </w:rPr>
            </w:pPr>
            <w:r w:rsidRPr="001619AC">
              <w:rPr>
                <w:rFonts w:ascii="Arial Narrow" w:hAnsi="Arial Narrow"/>
              </w:rPr>
              <w:t xml:space="preserve">The Department did not report </w:t>
            </w:r>
            <w:r w:rsidR="001C3033">
              <w:rPr>
                <w:rFonts w:ascii="Arial Narrow" w:hAnsi="Arial Narrow"/>
              </w:rPr>
              <w:t xml:space="preserve">any </w:t>
            </w:r>
            <w:r w:rsidRPr="001619AC">
              <w:rPr>
                <w:rFonts w:ascii="Arial Narrow" w:hAnsi="Arial Narrow"/>
              </w:rPr>
              <w:t xml:space="preserve">other </w:t>
            </w:r>
            <w:r w:rsidR="009E4A1C">
              <w:rPr>
                <w:rFonts w:ascii="Arial Narrow" w:hAnsi="Arial Narrow"/>
              </w:rPr>
              <w:t>F</w:t>
            </w:r>
            <w:r w:rsidRPr="001619AC">
              <w:rPr>
                <w:rFonts w:ascii="Arial Narrow" w:hAnsi="Arial Narrow"/>
              </w:rPr>
              <w:t xml:space="preserve">ocus </w:t>
            </w:r>
            <w:r w:rsidR="009E4A1C">
              <w:rPr>
                <w:rFonts w:ascii="Arial Narrow" w:hAnsi="Arial Narrow"/>
              </w:rPr>
              <w:t>A</w:t>
            </w:r>
            <w:r w:rsidRPr="001619AC">
              <w:rPr>
                <w:rFonts w:ascii="Arial Narrow" w:hAnsi="Arial Narrow"/>
              </w:rPr>
              <w:t>reas</w:t>
            </w:r>
          </w:p>
        </w:tc>
      </w:tr>
      <w:tr w:rsidR="009B42A0" w:rsidRPr="001619AC" w14:paraId="47BB7D0F" w14:textId="77777777" w:rsidTr="00035362">
        <w:tc>
          <w:tcPr>
            <w:tcW w:w="5000" w:type="pct"/>
            <w:shd w:val="clear" w:color="auto" w:fill="F2DBDB" w:themeFill="accent2" w:themeFillTint="33"/>
          </w:tcPr>
          <w:p w14:paraId="088B9856" w14:textId="77777777" w:rsidR="004830BF" w:rsidRPr="00693D3C" w:rsidRDefault="004830BF" w:rsidP="000F7DFB">
            <w:pPr>
              <w:rPr>
                <w:rFonts w:ascii="Arial Narrow" w:hAnsi="Arial Narrow"/>
                <w:b/>
                <w:i/>
                <w:iCs/>
              </w:rPr>
            </w:pPr>
            <w:r w:rsidRPr="00693D3C">
              <w:rPr>
                <w:rFonts w:ascii="Arial Narrow" w:hAnsi="Arial Narrow"/>
                <w:b/>
                <w:i/>
                <w:iCs/>
              </w:rPr>
              <w:t>Summary of Committee Findings</w:t>
            </w:r>
          </w:p>
          <w:p w14:paraId="1B05C74C" w14:textId="7F5F5D4F" w:rsidR="009B42A0" w:rsidRPr="00693D3C" w:rsidRDefault="009B42A0" w:rsidP="000F7DFB">
            <w:pPr>
              <w:rPr>
                <w:rFonts w:ascii="Arial Narrow" w:hAnsi="Arial Narrow"/>
                <w:bCs/>
                <w:i/>
                <w:iCs/>
              </w:rPr>
            </w:pPr>
            <w:r w:rsidRPr="00693D3C">
              <w:rPr>
                <w:rFonts w:ascii="Arial Narrow" w:hAnsi="Arial Narrow"/>
                <w:bCs/>
                <w:i/>
                <w:iCs/>
              </w:rPr>
              <w:t>High level summary of Committee findings. Broadly, which aspects do they relate to</w:t>
            </w:r>
          </w:p>
        </w:tc>
      </w:tr>
      <w:tr w:rsidR="009B42A0" w:rsidRPr="001619AC" w14:paraId="44B7F95E" w14:textId="77777777" w:rsidTr="00035362">
        <w:tc>
          <w:tcPr>
            <w:tcW w:w="5000" w:type="pct"/>
          </w:tcPr>
          <w:p w14:paraId="6B480EBF" w14:textId="6DDBCC3E" w:rsidR="00E07C5C" w:rsidRPr="00E07C5C" w:rsidRDefault="009225D0" w:rsidP="00E07C5C">
            <w:pPr>
              <w:spacing w:line="276" w:lineRule="auto"/>
              <w:rPr>
                <w:rFonts w:ascii="Arial Narrow" w:hAnsi="Arial Narrow" w:cs="Arial"/>
                <w:bCs/>
              </w:rPr>
            </w:pPr>
            <w:r w:rsidRPr="001619AC">
              <w:rPr>
                <w:rFonts w:ascii="Arial Narrow" w:hAnsi="Arial Narrow" w:cs="Arial"/>
                <w:bCs/>
              </w:rPr>
              <w:t xml:space="preserve">The </w:t>
            </w:r>
            <w:r w:rsidR="007B018C">
              <w:rPr>
                <w:rFonts w:ascii="Arial Narrow" w:hAnsi="Arial Narrow" w:cs="Arial"/>
                <w:bCs/>
              </w:rPr>
              <w:t xml:space="preserve">Portfolio </w:t>
            </w:r>
            <w:r w:rsidRPr="001619AC">
              <w:rPr>
                <w:rFonts w:ascii="Arial Narrow" w:hAnsi="Arial Narrow" w:cs="Arial"/>
                <w:bCs/>
              </w:rPr>
              <w:t>Committee</w:t>
            </w:r>
            <w:r w:rsidR="007B018C">
              <w:rPr>
                <w:rFonts w:ascii="Arial Narrow" w:hAnsi="Arial Narrow" w:cs="Arial"/>
                <w:bCs/>
              </w:rPr>
              <w:t xml:space="preserve"> noted </w:t>
            </w:r>
            <w:r w:rsidR="00152D57">
              <w:rPr>
                <w:rFonts w:ascii="Arial Narrow" w:hAnsi="Arial Narrow" w:cs="Arial"/>
                <w:bCs/>
              </w:rPr>
              <w:t xml:space="preserve">that </w:t>
            </w:r>
            <w:r w:rsidR="00152D57" w:rsidRPr="001619AC">
              <w:rPr>
                <w:rFonts w:ascii="Arial Narrow" w:hAnsi="Arial Narrow" w:cs="Arial"/>
                <w:bCs/>
              </w:rPr>
              <w:t>the</w:t>
            </w:r>
            <w:r w:rsidR="00E07C5C" w:rsidRPr="00E07C5C">
              <w:rPr>
                <w:rFonts w:ascii="Arial Narrow" w:hAnsi="Arial Narrow" w:cs="Arial"/>
                <w:bCs/>
              </w:rPr>
              <w:t xml:space="preserve"> Department overall expenditure is at 4</w:t>
            </w:r>
            <w:r w:rsidR="006B5F1A">
              <w:rPr>
                <w:rFonts w:ascii="Arial Narrow" w:hAnsi="Arial Narrow" w:cs="Arial"/>
                <w:bCs/>
              </w:rPr>
              <w:t>8</w:t>
            </w:r>
            <w:r w:rsidR="00E07C5C" w:rsidRPr="00E07C5C">
              <w:rPr>
                <w:rFonts w:ascii="Arial Narrow" w:hAnsi="Arial Narrow" w:cs="Arial"/>
                <w:bCs/>
              </w:rPr>
              <w:t xml:space="preserve">% as at </w:t>
            </w:r>
            <w:r w:rsidR="00E07C5C">
              <w:rPr>
                <w:rFonts w:ascii="Arial Narrow" w:hAnsi="Arial Narrow" w:cs="Arial"/>
                <w:bCs/>
              </w:rPr>
              <w:t xml:space="preserve">in the quarter under review. </w:t>
            </w:r>
            <w:r w:rsidR="00E07C5C" w:rsidRPr="00E07C5C">
              <w:rPr>
                <w:rFonts w:ascii="Arial Narrow" w:hAnsi="Arial Narrow" w:cs="Arial"/>
                <w:bCs/>
              </w:rPr>
              <w:t xml:space="preserve"> </w:t>
            </w:r>
          </w:p>
          <w:p w14:paraId="466AAFF8" w14:textId="4E64ED1D" w:rsidR="00E07C5C" w:rsidRPr="00E07C5C" w:rsidRDefault="00E07C5C" w:rsidP="00E07C5C">
            <w:pPr>
              <w:spacing w:line="276" w:lineRule="auto"/>
              <w:rPr>
                <w:rFonts w:ascii="Arial Narrow" w:hAnsi="Arial Narrow" w:cs="Arial"/>
                <w:bCs/>
              </w:rPr>
            </w:pPr>
            <w:r w:rsidRPr="00E07C5C">
              <w:rPr>
                <w:rFonts w:ascii="Arial Narrow" w:hAnsi="Arial Narrow" w:cs="Arial"/>
                <w:bCs/>
              </w:rPr>
              <w:t xml:space="preserve">Expenditure on compensation of employees </w:t>
            </w:r>
            <w:r w:rsidR="00B63733">
              <w:rPr>
                <w:rFonts w:ascii="Arial Narrow" w:hAnsi="Arial Narrow" w:cs="Arial"/>
                <w:bCs/>
              </w:rPr>
              <w:t>wa</w:t>
            </w:r>
            <w:r w:rsidRPr="00E07C5C">
              <w:rPr>
                <w:rFonts w:ascii="Arial Narrow" w:hAnsi="Arial Narrow" w:cs="Arial"/>
                <w:bCs/>
              </w:rPr>
              <w:t xml:space="preserve">s at </w:t>
            </w:r>
            <w:r w:rsidR="006B5F1A">
              <w:rPr>
                <w:rFonts w:ascii="Arial Narrow" w:hAnsi="Arial Narrow" w:cs="Arial"/>
                <w:bCs/>
              </w:rPr>
              <w:t>39</w:t>
            </w:r>
            <w:r w:rsidR="006B5F1A" w:rsidRPr="00E07C5C">
              <w:rPr>
                <w:rFonts w:ascii="Arial Narrow" w:hAnsi="Arial Narrow" w:cs="Arial"/>
                <w:bCs/>
              </w:rPr>
              <w:t>%.</w:t>
            </w:r>
          </w:p>
          <w:p w14:paraId="05ED9D3B" w14:textId="6353A115" w:rsidR="00E07C5C" w:rsidRPr="00E07C5C" w:rsidRDefault="00E07C5C" w:rsidP="00E07C5C">
            <w:pPr>
              <w:spacing w:line="276" w:lineRule="auto"/>
              <w:rPr>
                <w:rFonts w:ascii="Arial Narrow" w:hAnsi="Arial Narrow" w:cs="Arial"/>
                <w:bCs/>
              </w:rPr>
            </w:pPr>
            <w:r w:rsidRPr="00E07C5C">
              <w:rPr>
                <w:rFonts w:ascii="Arial Narrow" w:hAnsi="Arial Narrow" w:cs="Arial"/>
                <w:bCs/>
              </w:rPr>
              <w:t xml:space="preserve">Expenditure on transfers to municipalities </w:t>
            </w:r>
            <w:r w:rsidR="00B63733">
              <w:rPr>
                <w:rFonts w:ascii="Arial Narrow" w:hAnsi="Arial Narrow" w:cs="Arial"/>
                <w:bCs/>
              </w:rPr>
              <w:t>wa</w:t>
            </w:r>
            <w:r w:rsidRPr="00E07C5C">
              <w:rPr>
                <w:rFonts w:ascii="Arial Narrow" w:hAnsi="Arial Narrow" w:cs="Arial"/>
                <w:bCs/>
              </w:rPr>
              <w:t xml:space="preserve">s at </w:t>
            </w:r>
            <w:r w:rsidR="006B5F1A">
              <w:rPr>
                <w:rFonts w:ascii="Arial Narrow" w:hAnsi="Arial Narrow" w:cs="Arial"/>
                <w:bCs/>
              </w:rPr>
              <w:t>42</w:t>
            </w:r>
            <w:r w:rsidRPr="00E07C5C">
              <w:rPr>
                <w:rFonts w:ascii="Arial Narrow" w:hAnsi="Arial Narrow" w:cs="Arial"/>
                <w:bCs/>
              </w:rPr>
              <w:t>%</w:t>
            </w:r>
            <w:r w:rsidR="00B63733">
              <w:rPr>
                <w:rFonts w:ascii="Arial Narrow" w:hAnsi="Arial Narrow" w:cs="Arial"/>
                <w:bCs/>
              </w:rPr>
              <w:t>.</w:t>
            </w:r>
          </w:p>
          <w:p w14:paraId="07B595A3" w14:textId="4CCE975D" w:rsidR="00E07C5C" w:rsidRPr="00E07C5C" w:rsidRDefault="00E07C5C" w:rsidP="00E07C5C">
            <w:pPr>
              <w:spacing w:line="276" w:lineRule="auto"/>
              <w:rPr>
                <w:rFonts w:ascii="Arial Narrow" w:hAnsi="Arial Narrow" w:cs="Arial"/>
                <w:bCs/>
              </w:rPr>
            </w:pPr>
            <w:r w:rsidRPr="00E07C5C">
              <w:rPr>
                <w:rFonts w:ascii="Arial Narrow" w:hAnsi="Arial Narrow" w:cs="Arial"/>
                <w:bCs/>
              </w:rPr>
              <w:t xml:space="preserve">Expenditure on goods and services </w:t>
            </w:r>
            <w:r w:rsidR="00B63733">
              <w:rPr>
                <w:rFonts w:ascii="Arial Narrow" w:hAnsi="Arial Narrow" w:cs="Arial"/>
                <w:bCs/>
              </w:rPr>
              <w:t>wa</w:t>
            </w:r>
            <w:r w:rsidRPr="00E07C5C">
              <w:rPr>
                <w:rFonts w:ascii="Arial Narrow" w:hAnsi="Arial Narrow" w:cs="Arial"/>
                <w:bCs/>
              </w:rPr>
              <w:t xml:space="preserve">s at </w:t>
            </w:r>
            <w:r w:rsidR="006B5F1A">
              <w:rPr>
                <w:rFonts w:ascii="Arial Narrow" w:hAnsi="Arial Narrow" w:cs="Arial"/>
                <w:bCs/>
              </w:rPr>
              <w:t>67</w:t>
            </w:r>
            <w:r w:rsidRPr="00E07C5C">
              <w:rPr>
                <w:rFonts w:ascii="Arial Narrow" w:hAnsi="Arial Narrow" w:cs="Arial"/>
                <w:bCs/>
              </w:rPr>
              <w:t xml:space="preserve">%. </w:t>
            </w:r>
          </w:p>
          <w:p w14:paraId="24EA1F1A" w14:textId="243DBA1A" w:rsidR="009B42A0" w:rsidRPr="001B0C23" w:rsidRDefault="00E07C5C" w:rsidP="00E928C8">
            <w:pPr>
              <w:spacing w:line="276" w:lineRule="auto"/>
              <w:rPr>
                <w:rFonts w:ascii="Arial Narrow" w:hAnsi="Arial Narrow" w:cs="Arial"/>
                <w:bCs/>
              </w:rPr>
            </w:pPr>
            <w:r w:rsidRPr="00E07C5C">
              <w:rPr>
                <w:rFonts w:ascii="Arial Narrow" w:hAnsi="Arial Narrow" w:cs="Arial"/>
                <w:bCs/>
              </w:rPr>
              <w:t xml:space="preserve">Machinery and equipment at </w:t>
            </w:r>
            <w:r w:rsidR="006B5F1A">
              <w:rPr>
                <w:rFonts w:ascii="Arial Narrow" w:hAnsi="Arial Narrow" w:cs="Arial"/>
                <w:bCs/>
              </w:rPr>
              <w:t>16</w:t>
            </w:r>
            <w:r w:rsidRPr="00E07C5C">
              <w:rPr>
                <w:rFonts w:ascii="Arial Narrow" w:hAnsi="Arial Narrow" w:cs="Arial"/>
                <w:bCs/>
              </w:rPr>
              <w:t xml:space="preserve">% and expenditure on this item. </w:t>
            </w:r>
          </w:p>
        </w:tc>
      </w:tr>
      <w:tr w:rsidR="009B42A0" w:rsidRPr="001619AC" w14:paraId="2E26E02D" w14:textId="77777777" w:rsidTr="00035362">
        <w:tc>
          <w:tcPr>
            <w:tcW w:w="5000" w:type="pct"/>
            <w:shd w:val="clear" w:color="auto" w:fill="F2DBDB" w:themeFill="accent2" w:themeFillTint="33"/>
          </w:tcPr>
          <w:p w14:paraId="7D53ADB0" w14:textId="77777777" w:rsidR="004830BF" w:rsidRPr="006F2A5E" w:rsidRDefault="004830BF" w:rsidP="000F7DFB">
            <w:pPr>
              <w:rPr>
                <w:rFonts w:ascii="Arial Narrow" w:hAnsi="Arial Narrow"/>
                <w:b/>
                <w:i/>
                <w:iCs/>
              </w:rPr>
            </w:pPr>
            <w:r w:rsidRPr="006F2A5E">
              <w:rPr>
                <w:rFonts w:ascii="Arial Narrow" w:hAnsi="Arial Narrow"/>
                <w:b/>
                <w:i/>
                <w:iCs/>
              </w:rPr>
              <w:t>Summary of Committee Recommendations</w:t>
            </w:r>
          </w:p>
          <w:p w14:paraId="6E5AD83F" w14:textId="4FA80EFC" w:rsidR="009B42A0" w:rsidRPr="006F2A5E" w:rsidRDefault="009B42A0" w:rsidP="000F7DFB">
            <w:pPr>
              <w:rPr>
                <w:rFonts w:ascii="Arial Narrow" w:hAnsi="Arial Narrow"/>
                <w:bCs/>
                <w:i/>
                <w:iCs/>
              </w:rPr>
            </w:pPr>
            <w:r w:rsidRPr="006F2A5E">
              <w:rPr>
                <w:rFonts w:ascii="Arial Narrow" w:hAnsi="Arial Narrow"/>
                <w:bCs/>
                <w:i/>
                <w:iCs/>
              </w:rPr>
              <w:t>High level summary of Committee Recommendations. Broadly, which aspects do they relate to</w:t>
            </w:r>
          </w:p>
        </w:tc>
      </w:tr>
      <w:tr w:rsidR="009B42A0" w:rsidRPr="001619AC" w14:paraId="377CBE91" w14:textId="77777777" w:rsidTr="00035362">
        <w:tc>
          <w:tcPr>
            <w:tcW w:w="5000" w:type="pct"/>
          </w:tcPr>
          <w:p w14:paraId="3B1931CE" w14:textId="709260F5" w:rsidR="00111A57" w:rsidRPr="00AE7789" w:rsidRDefault="00111A57" w:rsidP="00F81DCB">
            <w:pPr>
              <w:shd w:val="clear" w:color="auto" w:fill="FFFFFF" w:themeFill="background1"/>
              <w:spacing w:line="276" w:lineRule="auto"/>
              <w:rPr>
                <w:rFonts w:ascii="Arial Narrow" w:hAnsi="Arial Narrow" w:cs="Arial"/>
                <w:lang w:val="en-US"/>
              </w:rPr>
            </w:pPr>
            <w:r w:rsidRPr="00AE7789">
              <w:rPr>
                <w:rFonts w:ascii="Arial Narrow" w:hAnsi="Arial Narrow" w:cs="Arial"/>
                <w:lang w:val="en-US"/>
              </w:rPr>
              <w:t xml:space="preserve">The </w:t>
            </w:r>
            <w:r w:rsidR="00416199" w:rsidRPr="00AE7789">
              <w:rPr>
                <w:rFonts w:ascii="Arial Narrow" w:hAnsi="Arial Narrow" w:cs="Arial"/>
                <w:lang w:val="en-US"/>
              </w:rPr>
              <w:t xml:space="preserve">Portfolio </w:t>
            </w:r>
            <w:r w:rsidRPr="00AE7789">
              <w:rPr>
                <w:rFonts w:ascii="Arial Narrow" w:hAnsi="Arial Narrow" w:cs="Arial"/>
                <w:lang w:val="en-US"/>
              </w:rPr>
              <w:t xml:space="preserve">Committee recommends </w:t>
            </w:r>
            <w:r w:rsidR="00416199" w:rsidRPr="00AE7789">
              <w:rPr>
                <w:rFonts w:ascii="Arial Narrow" w:hAnsi="Arial Narrow" w:cs="Arial"/>
                <w:lang w:val="en-US"/>
              </w:rPr>
              <w:t>the following:</w:t>
            </w:r>
            <w:r w:rsidRPr="00AE7789">
              <w:rPr>
                <w:rFonts w:ascii="Arial Narrow" w:hAnsi="Arial Narrow" w:cs="Arial"/>
                <w:lang w:val="en-US"/>
              </w:rPr>
              <w:t xml:space="preserve"> </w:t>
            </w:r>
          </w:p>
          <w:p w14:paraId="7C6A3C7E" w14:textId="7767D23D" w:rsidR="00646220" w:rsidRDefault="00AE7789" w:rsidP="00F15B8C">
            <w:pPr>
              <w:pStyle w:val="ListParagraph"/>
              <w:numPr>
                <w:ilvl w:val="1"/>
                <w:numId w:val="19"/>
              </w:numPr>
              <w:shd w:val="clear" w:color="auto" w:fill="FFFFFF" w:themeFill="background1"/>
              <w:rPr>
                <w:rFonts w:ascii="Arial Narrow" w:hAnsi="Arial Narrow" w:cs="Arial"/>
              </w:rPr>
            </w:pPr>
            <w:r w:rsidRPr="00AE7789">
              <w:rPr>
                <w:rFonts w:ascii="Arial Narrow" w:hAnsi="Arial Narrow" w:cs="Arial"/>
              </w:rPr>
              <w:t xml:space="preserve">Although payment delays were attributed to system downtime within SITA, the </w:t>
            </w:r>
            <w:r w:rsidR="00817CDD">
              <w:rPr>
                <w:rFonts w:ascii="Arial Narrow" w:hAnsi="Arial Narrow" w:cs="Arial"/>
              </w:rPr>
              <w:t>P</w:t>
            </w:r>
            <w:r w:rsidRPr="00AE7789">
              <w:rPr>
                <w:rFonts w:ascii="Arial Narrow" w:hAnsi="Arial Narrow" w:cs="Arial"/>
              </w:rPr>
              <w:t xml:space="preserve">ortfolio </w:t>
            </w:r>
            <w:r w:rsidR="004771C3">
              <w:rPr>
                <w:rFonts w:ascii="Arial Narrow" w:hAnsi="Arial Narrow" w:cs="Arial"/>
              </w:rPr>
              <w:t>C</w:t>
            </w:r>
            <w:r w:rsidRPr="00AE7789">
              <w:rPr>
                <w:rFonts w:ascii="Arial Narrow" w:hAnsi="Arial Narrow" w:cs="Arial"/>
              </w:rPr>
              <w:t xml:space="preserve">ommittee emphasizes the need for the Department to explore alternative ways to process payments </w:t>
            </w:r>
            <w:r w:rsidR="003824A6">
              <w:rPr>
                <w:rFonts w:ascii="Arial Narrow" w:hAnsi="Arial Narrow" w:cs="Arial"/>
              </w:rPr>
              <w:t>of invoice</w:t>
            </w:r>
            <w:r w:rsidR="00151B07">
              <w:rPr>
                <w:rFonts w:ascii="Arial Narrow" w:hAnsi="Arial Narrow" w:cs="Arial"/>
              </w:rPr>
              <w:t xml:space="preserve">s </w:t>
            </w:r>
            <w:r w:rsidRPr="00AE7789">
              <w:rPr>
                <w:rFonts w:ascii="Arial Narrow" w:hAnsi="Arial Narrow" w:cs="Arial"/>
              </w:rPr>
              <w:t>within the stipulated period.</w:t>
            </w:r>
          </w:p>
          <w:p w14:paraId="72D92937" w14:textId="1A928C57" w:rsidR="00646220" w:rsidRDefault="00646220" w:rsidP="00F15B8C">
            <w:pPr>
              <w:pStyle w:val="ListParagraph"/>
              <w:numPr>
                <w:ilvl w:val="1"/>
                <w:numId w:val="19"/>
              </w:numPr>
              <w:shd w:val="clear" w:color="auto" w:fill="FFFFFF" w:themeFill="background1"/>
              <w:rPr>
                <w:rFonts w:ascii="Arial Narrow" w:hAnsi="Arial Narrow" w:cs="Arial"/>
              </w:rPr>
            </w:pPr>
            <w:r w:rsidRPr="00646220">
              <w:rPr>
                <w:rFonts w:ascii="Arial Narrow" w:hAnsi="Arial Narrow" w:cs="Arial"/>
              </w:rPr>
              <w:t>The Department should ensure that a suitable service provider is appointed timeously to implement the two (2) powers and functions of the single-tier system of government pillars in line with the approved plans is attain in the third quarter of the current FY.</w:t>
            </w:r>
            <w:r>
              <w:rPr>
                <w:rFonts w:ascii="Arial Narrow" w:hAnsi="Arial Narrow" w:cs="Arial"/>
              </w:rPr>
              <w:t xml:space="preserve"> </w:t>
            </w:r>
            <w:r w:rsidRPr="00646220">
              <w:rPr>
                <w:rFonts w:ascii="Arial Narrow" w:hAnsi="Arial Narrow" w:cs="Arial"/>
              </w:rPr>
              <w:t xml:space="preserve">The portfolio committee will monitor the progress that will be made </w:t>
            </w:r>
            <w:r w:rsidR="003A19E7">
              <w:rPr>
                <w:rFonts w:ascii="Arial Narrow" w:hAnsi="Arial Narrow" w:cs="Arial"/>
              </w:rPr>
              <w:t>i</w:t>
            </w:r>
            <w:r w:rsidRPr="00646220">
              <w:rPr>
                <w:rFonts w:ascii="Arial Narrow" w:hAnsi="Arial Narrow" w:cs="Arial"/>
              </w:rPr>
              <w:t xml:space="preserve">n the </w:t>
            </w:r>
            <w:r w:rsidR="003A19E7">
              <w:rPr>
                <w:rFonts w:ascii="Arial Narrow" w:hAnsi="Arial Narrow" w:cs="Arial"/>
              </w:rPr>
              <w:t>third</w:t>
            </w:r>
            <w:r w:rsidRPr="00646220">
              <w:rPr>
                <w:rFonts w:ascii="Arial Narrow" w:hAnsi="Arial Narrow" w:cs="Arial"/>
              </w:rPr>
              <w:t xml:space="preserve"> quarter in terms of project implementation.  </w:t>
            </w:r>
          </w:p>
          <w:p w14:paraId="4C8578EB" w14:textId="365DC81A" w:rsidR="00EE30F7" w:rsidRPr="00B0572D" w:rsidRDefault="00646220" w:rsidP="00646220">
            <w:pPr>
              <w:pStyle w:val="ListParagraph"/>
              <w:numPr>
                <w:ilvl w:val="1"/>
                <w:numId w:val="19"/>
              </w:numPr>
              <w:shd w:val="clear" w:color="auto" w:fill="FFFFFF" w:themeFill="background1"/>
              <w:rPr>
                <w:rFonts w:ascii="Arial Narrow" w:hAnsi="Arial Narrow" w:cs="Arial"/>
              </w:rPr>
            </w:pPr>
            <w:r w:rsidRPr="00646220">
              <w:rPr>
                <w:rFonts w:ascii="Arial Narrow" w:hAnsi="Arial Narrow" w:cs="Arial"/>
              </w:rPr>
              <w:t xml:space="preserve">The </w:t>
            </w:r>
            <w:r w:rsidR="00C07113">
              <w:rPr>
                <w:rFonts w:ascii="Arial Narrow" w:hAnsi="Arial Narrow" w:cs="Arial"/>
              </w:rPr>
              <w:t>Portfolio Committee</w:t>
            </w:r>
            <w:r w:rsidRPr="00646220">
              <w:rPr>
                <w:rFonts w:ascii="Arial Narrow" w:hAnsi="Arial Narrow" w:cs="Arial"/>
              </w:rPr>
              <w:t xml:space="preserve"> should </w:t>
            </w:r>
            <w:r w:rsidR="004A5408">
              <w:rPr>
                <w:rFonts w:ascii="Arial Narrow" w:hAnsi="Arial Narrow" w:cs="Arial"/>
              </w:rPr>
              <w:t>m</w:t>
            </w:r>
            <w:r w:rsidRPr="00646220">
              <w:rPr>
                <w:rFonts w:ascii="Arial Narrow" w:hAnsi="Arial Narrow" w:cs="Arial"/>
              </w:rPr>
              <w:t>ake an undertaking to summon the Department and the City of Tshwane</w:t>
            </w:r>
            <w:r w:rsidR="000B56C1">
              <w:t xml:space="preserve"> </w:t>
            </w:r>
            <w:r w:rsidR="000B56C1" w:rsidRPr="000B56C1">
              <w:rPr>
                <w:rFonts w:ascii="Arial Narrow" w:hAnsi="Arial Narrow" w:cs="Arial"/>
              </w:rPr>
              <w:t>in terms of Rule 148(8) and (13</w:t>
            </w:r>
            <w:r w:rsidR="00156F19" w:rsidRPr="000B56C1">
              <w:rPr>
                <w:rFonts w:ascii="Arial Narrow" w:hAnsi="Arial Narrow" w:cs="Arial"/>
              </w:rPr>
              <w:t xml:space="preserve">) </w:t>
            </w:r>
            <w:r w:rsidR="00156F19" w:rsidRPr="00646220">
              <w:rPr>
                <w:rFonts w:ascii="Arial Narrow" w:hAnsi="Arial Narrow" w:cs="Arial"/>
              </w:rPr>
              <w:t>to</w:t>
            </w:r>
            <w:r w:rsidRPr="00646220">
              <w:rPr>
                <w:rFonts w:ascii="Arial Narrow" w:hAnsi="Arial Narrow" w:cs="Arial"/>
              </w:rPr>
              <w:t xml:space="preserve"> explain the challenges that are preventing the C</w:t>
            </w:r>
            <w:r w:rsidR="00D35BE1">
              <w:rPr>
                <w:rFonts w:ascii="Arial Narrow" w:hAnsi="Arial Narrow" w:cs="Arial"/>
              </w:rPr>
              <w:t>oT</w:t>
            </w:r>
            <w:r w:rsidRPr="00646220">
              <w:rPr>
                <w:rFonts w:ascii="Arial Narrow" w:hAnsi="Arial Narrow" w:cs="Arial"/>
              </w:rPr>
              <w:t xml:space="preserve"> to </w:t>
            </w:r>
            <w:r w:rsidR="004A79B7">
              <w:rPr>
                <w:rFonts w:ascii="Arial Narrow" w:hAnsi="Arial Narrow" w:cs="Arial"/>
              </w:rPr>
              <w:t>appoint</w:t>
            </w:r>
            <w:r w:rsidRPr="00646220">
              <w:rPr>
                <w:rFonts w:ascii="Arial Narrow" w:hAnsi="Arial Narrow" w:cs="Arial"/>
              </w:rPr>
              <w:t xml:space="preserve"> supported and maintained functional ward committees.</w:t>
            </w:r>
            <w:r>
              <w:rPr>
                <w:rFonts w:ascii="Arial Narrow" w:hAnsi="Arial Narrow" w:cs="Arial"/>
              </w:rPr>
              <w:t xml:space="preserve"> </w:t>
            </w:r>
            <w:r w:rsidRPr="00646220">
              <w:rPr>
                <w:rFonts w:ascii="Arial Narrow" w:hAnsi="Arial Narrow" w:cs="Arial"/>
              </w:rPr>
              <w:t xml:space="preserve">The absence of Ward Committee </w:t>
            </w:r>
            <w:r w:rsidR="007D5BBB">
              <w:rPr>
                <w:rFonts w:ascii="Arial Narrow" w:hAnsi="Arial Narrow" w:cs="Arial"/>
              </w:rPr>
              <w:t>is a demonstration</w:t>
            </w:r>
            <w:r w:rsidRPr="00646220">
              <w:rPr>
                <w:rFonts w:ascii="Arial Narrow" w:hAnsi="Arial Narrow" w:cs="Arial"/>
              </w:rPr>
              <w:t xml:space="preserve"> that the Communities of </w:t>
            </w:r>
            <w:r w:rsidR="0056536D">
              <w:rPr>
                <w:rFonts w:ascii="Arial Narrow" w:hAnsi="Arial Narrow" w:cs="Arial"/>
              </w:rPr>
              <w:t>Co</w:t>
            </w:r>
            <w:r w:rsidRPr="00646220">
              <w:rPr>
                <w:rFonts w:ascii="Arial Narrow" w:hAnsi="Arial Narrow" w:cs="Arial"/>
              </w:rPr>
              <w:t>T are not represented in Council meetings.</w:t>
            </w:r>
          </w:p>
        </w:tc>
      </w:tr>
    </w:tbl>
    <w:p w14:paraId="4C47F6AA" w14:textId="77777777" w:rsidR="005E44FA" w:rsidRPr="001619AC" w:rsidRDefault="009A46D6"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3" w:name="_Toc50576909"/>
      <w:r w:rsidRPr="001619AC">
        <w:rPr>
          <w:rFonts w:ascii="Arial Narrow" w:hAnsi="Arial Narrow"/>
          <w:color w:val="auto"/>
          <w:sz w:val="22"/>
          <w:szCs w:val="22"/>
        </w:rPr>
        <w:t>INTRODUCTION</w:t>
      </w:r>
      <w:bookmarkEnd w:id="3"/>
    </w:p>
    <w:p w14:paraId="7FCEB0EB" w14:textId="4BE2D7B0" w:rsidR="0026550E" w:rsidRDefault="0026550E" w:rsidP="00CC1419">
      <w:pPr>
        <w:spacing w:line="240" w:lineRule="auto"/>
        <w:rPr>
          <w:rFonts w:ascii="Arial Narrow" w:hAnsi="Arial Narrow"/>
        </w:rPr>
      </w:pPr>
    </w:p>
    <w:p w14:paraId="745E37C8" w14:textId="4F26F7EA" w:rsidR="00EF4E55" w:rsidRPr="006F64C3" w:rsidRDefault="00EF4E55" w:rsidP="00FE01D1">
      <w:pPr>
        <w:spacing w:line="276" w:lineRule="auto"/>
        <w:rPr>
          <w:rFonts w:ascii="Arial Narrow" w:hAnsi="Arial Narrow"/>
          <w:bCs/>
          <w:lang w:val="en-US"/>
        </w:rPr>
      </w:pPr>
      <w:r w:rsidRPr="00EF4E55">
        <w:rPr>
          <w:rFonts w:ascii="Arial Narrow" w:hAnsi="Arial Narrow"/>
        </w:rPr>
        <w:t>The Gauteng Department of Cooperative Governance and Traditional Affairs (C</w:t>
      </w:r>
      <w:r w:rsidR="00631DAC">
        <w:rPr>
          <w:rFonts w:ascii="Arial Narrow" w:hAnsi="Arial Narrow"/>
        </w:rPr>
        <w:t>o</w:t>
      </w:r>
      <w:r w:rsidRPr="00EF4E55">
        <w:rPr>
          <w:rFonts w:ascii="Arial Narrow" w:hAnsi="Arial Narrow"/>
        </w:rPr>
        <w:t>GTA) is mandated to support local government by ensuring good governance, financial accountability, capacity building and institutional stability. This sphere of government is governed by the Constitution of the Republic of South Africa, Act No. 108 of 1996 and legislation meaning therefrom.  Most significantly, the second quarterly performance report analysis of 2022/23 financial year (FY) forms part of implementing one of the aspects of the Portfolio Committee mandate of oversight and scrutiny wherein it examines “micro-progress” by the Gauteng Department of C</w:t>
      </w:r>
      <w:r w:rsidR="00631DAC">
        <w:rPr>
          <w:rFonts w:ascii="Arial Narrow" w:hAnsi="Arial Narrow"/>
        </w:rPr>
        <w:t>o</w:t>
      </w:r>
      <w:r w:rsidRPr="00EF4E55">
        <w:rPr>
          <w:rFonts w:ascii="Arial Narrow" w:hAnsi="Arial Narrow"/>
        </w:rPr>
        <w:t>GTA. This analysis would focus on the five (5) Programmes, namely, programme one: administration; programme two: local governance; programme three: urban planning; programme four: development and planning as well as programme five: traditional institutional development. The analysis is divided into the following sections: oversight on strategic priorities, oversight on technical performance, oversight on budget expenditure, gender mainstreaming/cross-cutting issues, conclusion, and proposed questions to the Department.</w:t>
      </w:r>
    </w:p>
    <w:p w14:paraId="2BC6B32E" w14:textId="7E48F4CD" w:rsidR="004B7663" w:rsidRPr="001619AC" w:rsidRDefault="004B7663"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4" w:name="_Toc50576910"/>
      <w:r w:rsidRPr="001619AC">
        <w:rPr>
          <w:rFonts w:ascii="Arial Narrow" w:hAnsi="Arial Narrow"/>
          <w:color w:val="auto"/>
          <w:sz w:val="22"/>
          <w:szCs w:val="22"/>
        </w:rPr>
        <w:t>PROCESS FOLLOWED</w:t>
      </w:r>
      <w:bookmarkEnd w:id="4"/>
    </w:p>
    <w:p w14:paraId="21D725C7" w14:textId="77777777" w:rsidR="006F261B" w:rsidRDefault="006F261B" w:rsidP="006F261B">
      <w:pPr>
        <w:jc w:val="left"/>
        <w:rPr>
          <w:rFonts w:ascii="Arial Narrow" w:hAnsi="Arial Narrow" w:cs="Arial Narrow"/>
          <w:bCs/>
        </w:rPr>
      </w:pPr>
    </w:p>
    <w:p w14:paraId="71201414" w14:textId="30D4033B" w:rsidR="006F261B" w:rsidRPr="00D74068" w:rsidRDefault="006F261B" w:rsidP="006F261B">
      <w:pPr>
        <w:jc w:val="left"/>
        <w:rPr>
          <w:rFonts w:ascii="Arial Narrow" w:hAnsi="Arial Narrow" w:cs="Arial Narrow"/>
          <w:bCs/>
        </w:rPr>
      </w:pPr>
      <w:r>
        <w:rPr>
          <w:rFonts w:ascii="Arial Narrow" w:hAnsi="Arial Narrow" w:cs="Arial Narrow"/>
          <w:bCs/>
        </w:rPr>
        <w:t xml:space="preserve">The following is the process followed by the Portfolio Committee in considering the </w:t>
      </w:r>
      <w:bookmarkStart w:id="5" w:name="_Hlk120270278"/>
      <w:r w:rsidR="00A8328C">
        <w:rPr>
          <w:rFonts w:ascii="Arial Narrow" w:hAnsi="Arial Narrow" w:cs="Arial Narrow"/>
          <w:bCs/>
        </w:rPr>
        <w:t>2</w:t>
      </w:r>
      <w:r w:rsidR="00A8328C" w:rsidRPr="00A8328C">
        <w:rPr>
          <w:rFonts w:ascii="Arial Narrow" w:hAnsi="Arial Narrow" w:cs="Arial Narrow"/>
          <w:bCs/>
          <w:vertAlign w:val="superscript"/>
        </w:rPr>
        <w:t>nd</w:t>
      </w:r>
      <w:r w:rsidR="00A8328C">
        <w:rPr>
          <w:rFonts w:ascii="Arial Narrow" w:hAnsi="Arial Narrow" w:cs="Arial Narrow"/>
          <w:bCs/>
        </w:rPr>
        <w:t xml:space="preserve"> </w:t>
      </w:r>
      <w:r>
        <w:rPr>
          <w:rFonts w:ascii="Arial Narrow" w:hAnsi="Arial Narrow" w:cs="Arial Narrow"/>
          <w:bCs/>
        </w:rPr>
        <w:t>Quarterly performance report on the Department of CoGTA</w:t>
      </w:r>
      <w:bookmarkEnd w:id="5"/>
      <w:r>
        <w:rPr>
          <w:rFonts w:ascii="Arial Narrow" w:hAnsi="Arial Narrow" w:cs="Arial Narrow"/>
          <w:bCs/>
        </w:rPr>
        <w:t>:</w:t>
      </w:r>
    </w:p>
    <w:p w14:paraId="3A326161" w14:textId="357A5155" w:rsidR="006C124A" w:rsidRPr="006C124A" w:rsidRDefault="006C124A" w:rsidP="00FE01D1">
      <w:pPr>
        <w:numPr>
          <w:ilvl w:val="0"/>
          <w:numId w:val="27"/>
        </w:numPr>
        <w:spacing w:line="276" w:lineRule="auto"/>
        <w:rPr>
          <w:rFonts w:ascii="Arial Narrow" w:hAnsi="Arial Narrow" w:cs="Arial Narrow"/>
          <w:b/>
          <w:bCs/>
        </w:rPr>
      </w:pPr>
      <w:r w:rsidRPr="006C124A">
        <w:rPr>
          <w:rFonts w:ascii="Arial Narrow" w:hAnsi="Arial Narrow" w:cs="Arial Narrow"/>
          <w:bCs/>
        </w:rPr>
        <w:t xml:space="preserve">On the </w:t>
      </w:r>
      <w:r w:rsidR="006B5F1A">
        <w:rPr>
          <w:rFonts w:ascii="Arial Narrow" w:hAnsi="Arial Narrow" w:cs="Arial Narrow"/>
          <w:bCs/>
        </w:rPr>
        <w:t>0</w:t>
      </w:r>
      <w:r w:rsidR="006B5F1A" w:rsidRPr="006B5F1A">
        <w:rPr>
          <w:rFonts w:ascii="Arial Narrow" w:hAnsi="Arial Narrow" w:cs="Arial Narrow"/>
          <w:bCs/>
        </w:rPr>
        <w:t>5</w:t>
      </w:r>
      <w:r w:rsidR="006B5F1A" w:rsidRPr="006B5F1A">
        <w:rPr>
          <w:rFonts w:ascii="Arial Narrow" w:hAnsi="Arial Narrow" w:cs="Arial Narrow"/>
          <w:bCs/>
          <w:vertAlign w:val="superscript"/>
        </w:rPr>
        <w:t>th</w:t>
      </w:r>
      <w:r w:rsidR="006B5F1A">
        <w:rPr>
          <w:rFonts w:ascii="Arial Narrow" w:hAnsi="Arial Narrow" w:cs="Arial Narrow"/>
          <w:bCs/>
        </w:rPr>
        <w:t xml:space="preserve"> </w:t>
      </w:r>
      <w:r w:rsidR="006B5F1A" w:rsidRPr="006B5F1A">
        <w:rPr>
          <w:rFonts w:ascii="Arial Narrow" w:hAnsi="Arial Narrow" w:cs="Arial Narrow"/>
          <w:bCs/>
        </w:rPr>
        <w:t>of November 2023</w:t>
      </w:r>
      <w:r w:rsidRPr="006C124A">
        <w:rPr>
          <w:rFonts w:ascii="Arial Narrow" w:hAnsi="Arial Narrow" w:cs="Arial Narrow"/>
          <w:bCs/>
        </w:rPr>
        <w:t xml:space="preserve">, the Speaker formally referred the </w:t>
      </w:r>
      <w:r w:rsidR="004153FB" w:rsidRPr="004153FB">
        <w:rPr>
          <w:rFonts w:ascii="Arial Narrow" w:hAnsi="Arial Narrow" w:cs="Arial Narrow"/>
          <w:bCs/>
        </w:rPr>
        <w:t>2nd Quarterly performance report on the Department of CoGTA</w:t>
      </w:r>
      <w:r w:rsidRPr="006C124A">
        <w:rPr>
          <w:rFonts w:ascii="Arial Narrow" w:hAnsi="Arial Narrow" w:cs="Arial Narrow"/>
          <w:bCs/>
        </w:rPr>
        <w:t xml:space="preserve"> for the 202</w:t>
      </w:r>
      <w:r w:rsidR="006B5F1A">
        <w:rPr>
          <w:rFonts w:ascii="Arial Narrow" w:hAnsi="Arial Narrow" w:cs="Arial Narrow"/>
          <w:bCs/>
        </w:rPr>
        <w:t>3</w:t>
      </w:r>
      <w:r w:rsidRPr="006C124A">
        <w:rPr>
          <w:rFonts w:ascii="Arial Narrow" w:hAnsi="Arial Narrow" w:cs="Arial Narrow"/>
          <w:bCs/>
        </w:rPr>
        <w:t>/2</w:t>
      </w:r>
      <w:r w:rsidR="006B5F1A">
        <w:rPr>
          <w:rFonts w:ascii="Arial Narrow" w:hAnsi="Arial Narrow" w:cs="Arial Narrow"/>
          <w:bCs/>
        </w:rPr>
        <w:t>4</w:t>
      </w:r>
      <w:r w:rsidRPr="006C124A">
        <w:rPr>
          <w:rFonts w:ascii="Arial Narrow" w:hAnsi="Arial Narrow" w:cs="Arial Narrow"/>
          <w:bCs/>
        </w:rPr>
        <w:t xml:space="preserve"> FY to the Portfolio Committee for consideration and reporting.</w:t>
      </w:r>
      <w:r w:rsidRPr="006C124A">
        <w:rPr>
          <w:rFonts w:ascii="Arial Narrow" w:hAnsi="Arial Narrow" w:cs="Arial Narrow"/>
          <w:b/>
          <w:bCs/>
        </w:rPr>
        <w:t xml:space="preserve">    </w:t>
      </w:r>
    </w:p>
    <w:p w14:paraId="39CE8CD2" w14:textId="77777777" w:rsidR="006C124A" w:rsidRPr="006C124A" w:rsidRDefault="006C124A" w:rsidP="006C124A">
      <w:pPr>
        <w:spacing w:line="240" w:lineRule="auto"/>
        <w:ind w:left="360"/>
        <w:rPr>
          <w:rFonts w:ascii="Arial Narrow" w:hAnsi="Arial Narrow" w:cs="Arial Narrow"/>
          <w:b/>
          <w:bCs/>
        </w:rPr>
      </w:pPr>
    </w:p>
    <w:p w14:paraId="43FD322D" w14:textId="3F7C42F8" w:rsidR="006C124A" w:rsidRPr="006C124A" w:rsidRDefault="006C124A" w:rsidP="00FE01D1">
      <w:pPr>
        <w:numPr>
          <w:ilvl w:val="0"/>
          <w:numId w:val="27"/>
        </w:numPr>
        <w:spacing w:line="276" w:lineRule="auto"/>
        <w:rPr>
          <w:rFonts w:ascii="Arial Narrow" w:hAnsi="Arial Narrow" w:cs="Arial Narrow"/>
          <w:bCs/>
        </w:rPr>
      </w:pPr>
      <w:r w:rsidRPr="006C124A">
        <w:rPr>
          <w:rFonts w:ascii="Arial Narrow" w:hAnsi="Arial Narrow" w:cs="Arial Narrow"/>
          <w:bCs/>
        </w:rPr>
        <w:t xml:space="preserve">On the </w:t>
      </w:r>
      <w:r w:rsidR="006B5F1A" w:rsidRPr="006C124A">
        <w:rPr>
          <w:rFonts w:ascii="Arial Narrow" w:hAnsi="Arial Narrow" w:cs="Arial Narrow"/>
          <w:bCs/>
        </w:rPr>
        <w:t>1</w:t>
      </w:r>
      <w:r w:rsidR="00787304">
        <w:rPr>
          <w:rFonts w:ascii="Arial Narrow" w:hAnsi="Arial Narrow" w:cs="Arial Narrow"/>
          <w:bCs/>
        </w:rPr>
        <w:t>6</w:t>
      </w:r>
      <w:r w:rsidR="006B5F1A" w:rsidRPr="006C124A">
        <w:rPr>
          <w:rFonts w:ascii="Arial Narrow" w:hAnsi="Arial Narrow" w:cs="Arial Narrow"/>
          <w:bCs/>
          <w:vertAlign w:val="superscript"/>
        </w:rPr>
        <w:t>th of</w:t>
      </w:r>
      <w:r w:rsidRPr="006C124A">
        <w:rPr>
          <w:rFonts w:ascii="Arial Narrow" w:hAnsi="Arial Narrow" w:cs="Arial Narrow"/>
          <w:bCs/>
        </w:rPr>
        <w:t xml:space="preserve"> November 202</w:t>
      </w:r>
      <w:r w:rsidR="00787304">
        <w:rPr>
          <w:rFonts w:ascii="Arial Narrow" w:hAnsi="Arial Narrow" w:cs="Arial Narrow"/>
          <w:bCs/>
        </w:rPr>
        <w:t>3</w:t>
      </w:r>
      <w:r w:rsidRPr="006C124A">
        <w:rPr>
          <w:rFonts w:ascii="Arial Narrow" w:hAnsi="Arial Narrow" w:cs="Arial Narrow"/>
          <w:bCs/>
        </w:rPr>
        <w:t xml:space="preserve">, the Portfolio Committee Researcher presented an analysis of the </w:t>
      </w:r>
      <w:r w:rsidRPr="006C124A">
        <w:rPr>
          <w:rFonts w:ascii="Arial Narrow" w:hAnsi="Arial Narrow" w:cs="Arial Narrow"/>
          <w:b/>
          <w:bCs/>
        </w:rPr>
        <w:t>Gauteng Department of Co-operative Governance and Traditional Affairs</w:t>
      </w:r>
      <w:r w:rsidRPr="006C124A">
        <w:rPr>
          <w:rFonts w:ascii="Arial Narrow" w:hAnsi="Arial Narrow" w:cs="Arial Narrow"/>
          <w:bCs/>
        </w:rPr>
        <w:t xml:space="preserve"> </w:t>
      </w:r>
      <w:bookmarkStart w:id="6" w:name="_Hlk120270322"/>
      <w:r w:rsidR="007A5097" w:rsidRPr="007A5097">
        <w:rPr>
          <w:rFonts w:ascii="Arial Narrow" w:hAnsi="Arial Narrow" w:cs="Arial Narrow"/>
          <w:bCs/>
        </w:rPr>
        <w:t xml:space="preserve">2nd Quarterly performance report on the Department of CoGTA </w:t>
      </w:r>
      <w:r w:rsidRPr="006C124A">
        <w:rPr>
          <w:rFonts w:ascii="Arial Narrow" w:hAnsi="Arial Narrow" w:cs="Arial Narrow"/>
          <w:bCs/>
        </w:rPr>
        <w:t>for the 202</w:t>
      </w:r>
      <w:r w:rsidR="00787304">
        <w:rPr>
          <w:rFonts w:ascii="Arial Narrow" w:hAnsi="Arial Narrow" w:cs="Arial Narrow"/>
          <w:bCs/>
        </w:rPr>
        <w:t>3</w:t>
      </w:r>
      <w:r w:rsidRPr="006C124A">
        <w:rPr>
          <w:rFonts w:ascii="Arial Narrow" w:hAnsi="Arial Narrow" w:cs="Arial Narrow"/>
          <w:bCs/>
        </w:rPr>
        <w:t>/2</w:t>
      </w:r>
      <w:r w:rsidR="00787304">
        <w:rPr>
          <w:rFonts w:ascii="Arial Narrow" w:hAnsi="Arial Narrow" w:cs="Arial Narrow"/>
          <w:bCs/>
        </w:rPr>
        <w:t>4</w:t>
      </w:r>
      <w:r w:rsidRPr="006C124A">
        <w:rPr>
          <w:rFonts w:ascii="Arial Narrow" w:hAnsi="Arial Narrow" w:cs="Arial Narrow"/>
          <w:bCs/>
        </w:rPr>
        <w:t xml:space="preserve"> FY </w:t>
      </w:r>
      <w:bookmarkEnd w:id="6"/>
      <w:r w:rsidRPr="006C124A">
        <w:rPr>
          <w:rFonts w:ascii="Arial Narrow" w:hAnsi="Arial Narrow" w:cs="Arial Narrow"/>
          <w:bCs/>
        </w:rPr>
        <w:t xml:space="preserve">to the Portfolio Committee. The Portfolio Committee therefore acknowledged and considered Departmental questions emanating from the analysis.      </w:t>
      </w:r>
    </w:p>
    <w:p w14:paraId="637AB2AD" w14:textId="77777777" w:rsidR="006C124A" w:rsidRPr="006C124A" w:rsidRDefault="006C124A" w:rsidP="006C124A">
      <w:pPr>
        <w:spacing w:line="240" w:lineRule="auto"/>
        <w:ind w:left="360"/>
        <w:rPr>
          <w:rFonts w:ascii="Arial Narrow" w:hAnsi="Arial Narrow" w:cs="Arial Narrow"/>
          <w:bCs/>
        </w:rPr>
      </w:pPr>
    </w:p>
    <w:p w14:paraId="752577E0" w14:textId="2397DB8A" w:rsidR="006C124A" w:rsidRPr="006C124A" w:rsidRDefault="006C124A" w:rsidP="006C124A">
      <w:pPr>
        <w:numPr>
          <w:ilvl w:val="0"/>
          <w:numId w:val="27"/>
        </w:numPr>
        <w:spacing w:line="240" w:lineRule="auto"/>
        <w:rPr>
          <w:rFonts w:ascii="Arial Narrow" w:hAnsi="Arial Narrow" w:cs="Arial Narrow"/>
          <w:bCs/>
        </w:rPr>
      </w:pPr>
      <w:r w:rsidRPr="006C124A">
        <w:rPr>
          <w:rFonts w:ascii="Arial Narrow" w:hAnsi="Arial Narrow" w:cs="Arial Narrow"/>
          <w:bCs/>
        </w:rPr>
        <w:t xml:space="preserve">On the </w:t>
      </w:r>
      <w:r w:rsidR="006B5F1A">
        <w:rPr>
          <w:rFonts w:ascii="Arial Narrow" w:hAnsi="Arial Narrow" w:cs="Arial Narrow"/>
          <w:bCs/>
        </w:rPr>
        <w:t>16</w:t>
      </w:r>
      <w:r w:rsidR="006B5F1A" w:rsidRPr="006B5F1A">
        <w:rPr>
          <w:rFonts w:ascii="Arial Narrow" w:hAnsi="Arial Narrow" w:cs="Arial Narrow"/>
          <w:bCs/>
          <w:vertAlign w:val="superscript"/>
        </w:rPr>
        <w:t>th</w:t>
      </w:r>
      <w:r w:rsidR="006B5F1A">
        <w:rPr>
          <w:rFonts w:ascii="Arial Narrow" w:hAnsi="Arial Narrow" w:cs="Arial Narrow"/>
          <w:bCs/>
        </w:rPr>
        <w:t xml:space="preserve"> of </w:t>
      </w:r>
      <w:r w:rsidRPr="006C124A">
        <w:rPr>
          <w:rFonts w:ascii="Arial Narrow" w:hAnsi="Arial Narrow" w:cs="Arial Narrow"/>
          <w:bCs/>
        </w:rPr>
        <w:t>November 202</w:t>
      </w:r>
      <w:r w:rsidR="006B5F1A">
        <w:rPr>
          <w:rFonts w:ascii="Arial Narrow" w:hAnsi="Arial Narrow" w:cs="Arial Narrow"/>
          <w:bCs/>
        </w:rPr>
        <w:t>3</w:t>
      </w:r>
      <w:r w:rsidRPr="006C124A">
        <w:rPr>
          <w:rFonts w:ascii="Arial Narrow" w:hAnsi="Arial Narrow" w:cs="Arial Narrow"/>
          <w:bCs/>
        </w:rPr>
        <w:t xml:space="preserve">, the Department presented its </w:t>
      </w:r>
      <w:r w:rsidR="0050291F" w:rsidRPr="0050291F">
        <w:rPr>
          <w:rFonts w:ascii="Arial Narrow" w:hAnsi="Arial Narrow" w:cs="Arial Narrow"/>
          <w:bCs/>
        </w:rPr>
        <w:t>2nd Quarterly performance report on the Department of CoGTA for the 202</w:t>
      </w:r>
      <w:r w:rsidR="00787304">
        <w:rPr>
          <w:rFonts w:ascii="Arial Narrow" w:hAnsi="Arial Narrow" w:cs="Arial Narrow"/>
          <w:bCs/>
        </w:rPr>
        <w:t>3</w:t>
      </w:r>
      <w:r w:rsidR="0050291F" w:rsidRPr="0050291F">
        <w:rPr>
          <w:rFonts w:ascii="Arial Narrow" w:hAnsi="Arial Narrow" w:cs="Arial Narrow"/>
          <w:bCs/>
        </w:rPr>
        <w:t>/2</w:t>
      </w:r>
      <w:r w:rsidR="00787304">
        <w:rPr>
          <w:rFonts w:ascii="Arial Narrow" w:hAnsi="Arial Narrow" w:cs="Arial Narrow"/>
          <w:bCs/>
        </w:rPr>
        <w:t>4</w:t>
      </w:r>
      <w:r w:rsidR="0050291F" w:rsidRPr="0050291F">
        <w:rPr>
          <w:rFonts w:ascii="Arial Narrow" w:hAnsi="Arial Narrow" w:cs="Arial Narrow"/>
          <w:bCs/>
        </w:rPr>
        <w:t xml:space="preserve"> FY </w:t>
      </w:r>
      <w:r w:rsidRPr="006C124A">
        <w:rPr>
          <w:rFonts w:ascii="Arial Narrow" w:hAnsi="Arial Narrow" w:cs="Arial Narrow"/>
          <w:bCs/>
        </w:rPr>
        <w:t xml:space="preserve">to the Portfolio Committee. </w:t>
      </w:r>
    </w:p>
    <w:p w14:paraId="3974D532" w14:textId="77777777" w:rsidR="006C124A" w:rsidRPr="006C124A" w:rsidRDefault="006C124A" w:rsidP="006C124A">
      <w:pPr>
        <w:spacing w:line="240" w:lineRule="auto"/>
        <w:ind w:left="360"/>
        <w:rPr>
          <w:rFonts w:ascii="Arial Narrow" w:hAnsi="Arial Narrow" w:cs="Arial Narrow"/>
          <w:bCs/>
        </w:rPr>
      </w:pPr>
    </w:p>
    <w:p w14:paraId="5223ACB7" w14:textId="5F43BA74" w:rsidR="006C124A" w:rsidRPr="006C124A" w:rsidRDefault="006C124A" w:rsidP="00FE01D1">
      <w:pPr>
        <w:numPr>
          <w:ilvl w:val="0"/>
          <w:numId w:val="27"/>
        </w:numPr>
        <w:spacing w:line="276" w:lineRule="auto"/>
        <w:rPr>
          <w:rFonts w:ascii="Arial Narrow" w:hAnsi="Arial Narrow" w:cs="Arial Narrow"/>
          <w:bCs/>
        </w:rPr>
      </w:pPr>
      <w:r w:rsidRPr="006C124A">
        <w:rPr>
          <w:rFonts w:ascii="Arial Narrow" w:hAnsi="Arial Narrow" w:cs="Arial Narrow"/>
          <w:bCs/>
        </w:rPr>
        <w:t xml:space="preserve">On the </w:t>
      </w:r>
      <w:r w:rsidR="006B5F1A">
        <w:rPr>
          <w:rFonts w:ascii="Arial Narrow" w:hAnsi="Arial Narrow" w:cs="Arial Narrow"/>
          <w:bCs/>
        </w:rPr>
        <w:t>23</w:t>
      </w:r>
      <w:r w:rsidR="006B5F1A" w:rsidRPr="006B5F1A">
        <w:rPr>
          <w:rFonts w:ascii="Arial Narrow" w:hAnsi="Arial Narrow" w:cs="Arial Narrow"/>
          <w:bCs/>
          <w:vertAlign w:val="superscript"/>
        </w:rPr>
        <w:t>rd</w:t>
      </w:r>
      <w:r w:rsidR="006B5F1A">
        <w:rPr>
          <w:rFonts w:ascii="Arial Narrow" w:hAnsi="Arial Narrow" w:cs="Arial Narrow"/>
          <w:bCs/>
        </w:rPr>
        <w:t xml:space="preserve"> of </w:t>
      </w:r>
      <w:r w:rsidRPr="006C124A">
        <w:rPr>
          <w:rFonts w:ascii="Arial Narrow" w:hAnsi="Arial Narrow" w:cs="Arial Narrow"/>
          <w:bCs/>
        </w:rPr>
        <w:t>November 202</w:t>
      </w:r>
      <w:r w:rsidR="00787304">
        <w:rPr>
          <w:rFonts w:ascii="Arial Narrow" w:hAnsi="Arial Narrow" w:cs="Arial Narrow"/>
          <w:bCs/>
        </w:rPr>
        <w:t>3</w:t>
      </w:r>
      <w:r w:rsidRPr="006C124A">
        <w:rPr>
          <w:rFonts w:ascii="Arial Narrow" w:hAnsi="Arial Narrow" w:cs="Arial Narrow"/>
          <w:bCs/>
        </w:rPr>
        <w:t xml:space="preserve">, the Committee deliberated and unanimously adopted the </w:t>
      </w:r>
      <w:r w:rsidRPr="006C124A">
        <w:rPr>
          <w:rFonts w:ascii="Arial Narrow" w:hAnsi="Arial Narrow" w:cs="Arial Narrow"/>
          <w:b/>
          <w:bCs/>
        </w:rPr>
        <w:t>Gauteng</w:t>
      </w:r>
      <w:r w:rsidRPr="006C124A">
        <w:rPr>
          <w:rFonts w:ascii="Arial Narrow" w:hAnsi="Arial Narrow" w:cs="Arial Narrow"/>
          <w:bCs/>
        </w:rPr>
        <w:t xml:space="preserve"> </w:t>
      </w:r>
      <w:r w:rsidRPr="006C124A">
        <w:rPr>
          <w:rFonts w:ascii="Arial Narrow" w:hAnsi="Arial Narrow" w:cs="Arial Narrow"/>
          <w:b/>
          <w:bCs/>
        </w:rPr>
        <w:t>Department of Co-operative Governance and Traditional Affairs</w:t>
      </w:r>
      <w:r w:rsidRPr="006C124A">
        <w:rPr>
          <w:rFonts w:ascii="Arial Narrow" w:hAnsi="Arial Narrow" w:cs="Arial Narrow"/>
          <w:bCs/>
        </w:rPr>
        <w:t xml:space="preserve"> </w:t>
      </w:r>
      <w:r w:rsidR="0061616E" w:rsidRPr="0061616E">
        <w:rPr>
          <w:rFonts w:ascii="Arial Narrow" w:hAnsi="Arial Narrow" w:cs="Arial Narrow"/>
          <w:bCs/>
        </w:rPr>
        <w:t>2nd Quarterly performance report on the Department of CoGTA for the 202</w:t>
      </w:r>
      <w:r w:rsidR="006B5F1A">
        <w:rPr>
          <w:rFonts w:ascii="Arial Narrow" w:hAnsi="Arial Narrow" w:cs="Arial Narrow"/>
          <w:bCs/>
        </w:rPr>
        <w:t>3</w:t>
      </w:r>
      <w:r w:rsidR="0061616E" w:rsidRPr="0061616E">
        <w:rPr>
          <w:rFonts w:ascii="Arial Narrow" w:hAnsi="Arial Narrow" w:cs="Arial Narrow"/>
          <w:bCs/>
        </w:rPr>
        <w:t>/2</w:t>
      </w:r>
      <w:r w:rsidR="006B5F1A">
        <w:rPr>
          <w:rFonts w:ascii="Arial Narrow" w:hAnsi="Arial Narrow" w:cs="Arial Narrow"/>
          <w:bCs/>
        </w:rPr>
        <w:t>4</w:t>
      </w:r>
      <w:r w:rsidR="0061616E" w:rsidRPr="0061616E">
        <w:rPr>
          <w:rFonts w:ascii="Arial Narrow" w:hAnsi="Arial Narrow" w:cs="Arial Narrow"/>
          <w:bCs/>
        </w:rPr>
        <w:t xml:space="preserve"> FY </w:t>
      </w:r>
      <w:r w:rsidRPr="006C124A">
        <w:rPr>
          <w:rFonts w:ascii="Arial Narrow" w:hAnsi="Arial Narrow" w:cs="Arial Narrow"/>
          <w:bCs/>
        </w:rPr>
        <w:t xml:space="preserve">with amendments.  </w:t>
      </w:r>
    </w:p>
    <w:p w14:paraId="17026EAD" w14:textId="77777777" w:rsidR="007F3A0D" w:rsidRPr="007F3A0D" w:rsidRDefault="007F3A0D" w:rsidP="007F3A0D">
      <w:pPr>
        <w:spacing w:line="240" w:lineRule="auto"/>
        <w:ind w:left="360"/>
        <w:rPr>
          <w:rFonts w:ascii="Arial" w:hAnsi="Arial" w:cs="Arial"/>
          <w:bCs/>
        </w:rPr>
      </w:pPr>
    </w:p>
    <w:p w14:paraId="7261AED5" w14:textId="7E51290C" w:rsidR="004B7663" w:rsidRPr="001619AC" w:rsidRDefault="001D680E" w:rsidP="00E775B8">
      <w:pPr>
        <w:pStyle w:val="Heading1"/>
        <w:numPr>
          <w:ilvl w:val="3"/>
          <w:numId w:val="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7" w:name="_Toc50576911"/>
      <w:r w:rsidRPr="001619AC">
        <w:rPr>
          <w:rFonts w:ascii="Arial Narrow" w:hAnsi="Arial Narrow"/>
          <w:color w:val="auto"/>
          <w:sz w:val="22"/>
          <w:szCs w:val="22"/>
        </w:rPr>
        <w:t xml:space="preserve">OVERSIGHT ON </w:t>
      </w:r>
      <w:r w:rsidR="00D74068" w:rsidRPr="001619AC">
        <w:rPr>
          <w:rFonts w:ascii="Arial Narrow" w:hAnsi="Arial Narrow"/>
          <w:color w:val="auto"/>
          <w:sz w:val="22"/>
          <w:szCs w:val="22"/>
        </w:rPr>
        <w:t>DEPARTMENT / ENTITY</w:t>
      </w:r>
      <w:r w:rsidR="001E2ED4" w:rsidRPr="001619AC">
        <w:rPr>
          <w:rFonts w:ascii="Arial Narrow" w:hAnsi="Arial Narrow"/>
          <w:color w:val="auto"/>
          <w:sz w:val="22"/>
          <w:szCs w:val="22"/>
        </w:rPr>
        <w:t xml:space="preserve"> </w:t>
      </w:r>
      <w:r w:rsidR="006F5174" w:rsidRPr="001619AC">
        <w:rPr>
          <w:rFonts w:ascii="Arial Narrow" w:hAnsi="Arial Narrow"/>
          <w:color w:val="auto"/>
          <w:sz w:val="22"/>
          <w:szCs w:val="22"/>
        </w:rPr>
        <w:t xml:space="preserve">ACHIEVEMENT OF </w:t>
      </w:r>
      <w:r w:rsidR="004B7663" w:rsidRPr="001619AC">
        <w:rPr>
          <w:rFonts w:ascii="Arial Narrow" w:hAnsi="Arial Narrow"/>
          <w:color w:val="auto"/>
          <w:sz w:val="22"/>
          <w:szCs w:val="22"/>
        </w:rPr>
        <w:t xml:space="preserve">STRATEGIC </w:t>
      </w:r>
      <w:r w:rsidR="00396E0C" w:rsidRPr="001619AC">
        <w:rPr>
          <w:rFonts w:ascii="Arial Narrow" w:hAnsi="Arial Narrow"/>
          <w:color w:val="auto"/>
          <w:sz w:val="22"/>
          <w:szCs w:val="22"/>
        </w:rPr>
        <w:t>PRIORITIES</w:t>
      </w:r>
      <w:bookmarkEnd w:id="7"/>
    </w:p>
    <w:tbl>
      <w:tblPr>
        <w:tblStyle w:val="TableGrid"/>
        <w:tblW w:w="5000" w:type="pct"/>
        <w:tblLook w:val="04A0" w:firstRow="1" w:lastRow="0" w:firstColumn="1" w:lastColumn="0" w:noHBand="0" w:noVBand="1"/>
      </w:tblPr>
      <w:tblGrid>
        <w:gridCol w:w="13948"/>
      </w:tblGrid>
      <w:tr w:rsidR="00600AFA" w:rsidRPr="001619AC" w14:paraId="5F542C00" w14:textId="77777777" w:rsidTr="000F7DFB">
        <w:trPr>
          <w:tblHeader/>
        </w:trPr>
        <w:tc>
          <w:tcPr>
            <w:tcW w:w="5000" w:type="pct"/>
            <w:shd w:val="clear" w:color="auto" w:fill="EAF1DD" w:themeFill="accent3" w:themeFillTint="33"/>
          </w:tcPr>
          <w:p w14:paraId="1ADB04CF" w14:textId="13D4E19B" w:rsidR="00600AFA" w:rsidRPr="001619AC" w:rsidRDefault="00600AFA" w:rsidP="000F7DFB">
            <w:pPr>
              <w:rPr>
                <w:rFonts w:ascii="Arial Narrow" w:hAnsi="Arial Narrow" w:cs="Arial Narrow"/>
                <w:b/>
                <w:bCs/>
              </w:rPr>
            </w:pPr>
            <w:r w:rsidRPr="001619AC">
              <w:rPr>
                <w:rFonts w:ascii="Arial Narrow" w:hAnsi="Arial Narrow" w:cs="Arial Narrow"/>
                <w:b/>
                <w:bCs/>
              </w:rPr>
              <w:t xml:space="preserve">1.1 THE DETAILS ON </w:t>
            </w:r>
            <w:r w:rsidR="00D74068" w:rsidRPr="001619AC">
              <w:rPr>
                <w:rFonts w:ascii="Arial Narrow" w:hAnsi="Arial Narrow" w:cs="Arial Narrow"/>
                <w:b/>
                <w:bCs/>
              </w:rPr>
              <w:t>Department / Entity</w:t>
            </w:r>
            <w:r w:rsidRPr="001619AC">
              <w:rPr>
                <w:rFonts w:ascii="Arial Narrow" w:hAnsi="Arial Narrow" w:cs="Arial Narrow"/>
                <w:b/>
                <w:bCs/>
              </w:rPr>
              <w:t xml:space="preserve"> achievement on relevant Strategic Priorities for the period under review]</w:t>
            </w:r>
          </w:p>
        </w:tc>
      </w:tr>
      <w:tr w:rsidR="00600AFA" w:rsidRPr="001619AC" w14:paraId="0D94264B" w14:textId="77777777" w:rsidTr="00FE01D1">
        <w:trPr>
          <w:trHeight w:val="877"/>
        </w:trPr>
        <w:tc>
          <w:tcPr>
            <w:tcW w:w="5000" w:type="pct"/>
          </w:tcPr>
          <w:p w14:paraId="09FA8D5A" w14:textId="77777777" w:rsidR="00007A9A" w:rsidRDefault="00007A9A" w:rsidP="00007A9A">
            <w:pPr>
              <w:rPr>
                <w:rFonts w:ascii="Arial Narrow" w:hAnsi="Arial Narrow" w:cs="Arial Narrow"/>
                <w:b/>
                <w:bCs/>
              </w:rPr>
            </w:pPr>
            <w:r w:rsidRPr="00007A9A">
              <w:rPr>
                <w:rFonts w:ascii="Arial Narrow" w:hAnsi="Arial Narrow" w:cs="Arial Narrow"/>
                <w:b/>
                <w:bCs/>
              </w:rPr>
              <w:t>NDP/MTSF Priority</w:t>
            </w:r>
          </w:p>
          <w:p w14:paraId="1EE80525" w14:textId="77777777" w:rsidR="00600AFA" w:rsidRDefault="00007A9A" w:rsidP="00007A9A">
            <w:pPr>
              <w:spacing w:after="200"/>
              <w:rPr>
                <w:rFonts w:ascii="Arial Narrow" w:hAnsi="Arial Narrow" w:cs="Arial Narrow"/>
              </w:rPr>
            </w:pPr>
            <w:r w:rsidRPr="00007A9A">
              <w:rPr>
                <w:rFonts w:ascii="Arial Narrow" w:hAnsi="Arial Narrow" w:cs="Arial Narrow"/>
              </w:rPr>
              <w:t xml:space="preserve">Support the implementation of the policy, </w:t>
            </w:r>
            <w:proofErr w:type="gramStart"/>
            <w:r w:rsidRPr="00007A9A">
              <w:rPr>
                <w:rFonts w:ascii="Arial Narrow" w:hAnsi="Arial Narrow" w:cs="Arial Narrow"/>
              </w:rPr>
              <w:t>norms</w:t>
            </w:r>
            <w:proofErr w:type="gramEnd"/>
            <w:r w:rsidRPr="00007A9A">
              <w:rPr>
                <w:rFonts w:ascii="Arial Narrow" w:hAnsi="Arial Narrow" w:cs="Arial Narrow"/>
              </w:rPr>
              <w:t xml:space="preserve"> and standards of the Municipal Electricity Infrastructure Asset Management</w:t>
            </w:r>
          </w:p>
          <w:p w14:paraId="41A68AE9" w14:textId="260A6BB9" w:rsidR="00DF68E0" w:rsidRPr="00DF68E0" w:rsidRDefault="00DF68E0" w:rsidP="00136229">
            <w:pPr>
              <w:rPr>
                <w:rFonts w:ascii="Arial Narrow" w:hAnsi="Arial Narrow" w:cs="Arial Narrow"/>
                <w:b/>
                <w:bCs/>
              </w:rPr>
            </w:pPr>
            <w:r w:rsidRPr="00DF68E0">
              <w:rPr>
                <w:rFonts w:ascii="Arial Narrow" w:hAnsi="Arial Narrow" w:cs="Arial Narrow"/>
                <w:b/>
                <w:bCs/>
              </w:rPr>
              <w:t>G</w:t>
            </w:r>
            <w:r w:rsidR="00136229">
              <w:rPr>
                <w:rFonts w:ascii="Arial Narrow" w:hAnsi="Arial Narrow" w:cs="Arial Narrow"/>
                <w:b/>
                <w:bCs/>
              </w:rPr>
              <w:t xml:space="preserve">rowing </w:t>
            </w:r>
            <w:r w:rsidRPr="00DF68E0">
              <w:rPr>
                <w:rFonts w:ascii="Arial Narrow" w:hAnsi="Arial Narrow" w:cs="Arial Narrow"/>
                <w:b/>
                <w:bCs/>
              </w:rPr>
              <w:t>G</w:t>
            </w:r>
            <w:r w:rsidR="00136229">
              <w:rPr>
                <w:rFonts w:ascii="Arial Narrow" w:hAnsi="Arial Narrow" w:cs="Arial Narrow"/>
                <w:b/>
                <w:bCs/>
              </w:rPr>
              <w:t xml:space="preserve">auteng </w:t>
            </w:r>
            <w:r w:rsidRPr="00DF68E0">
              <w:rPr>
                <w:rFonts w:ascii="Arial Narrow" w:hAnsi="Arial Narrow" w:cs="Arial Narrow"/>
                <w:b/>
                <w:bCs/>
              </w:rPr>
              <w:t>T</w:t>
            </w:r>
            <w:r w:rsidR="00136229">
              <w:rPr>
                <w:rFonts w:ascii="Arial Narrow" w:hAnsi="Arial Narrow" w:cs="Arial Narrow"/>
                <w:b/>
                <w:bCs/>
              </w:rPr>
              <w:t>ogether 2030</w:t>
            </w:r>
            <w:r w:rsidRPr="00DF68E0">
              <w:rPr>
                <w:rFonts w:ascii="Arial Narrow" w:hAnsi="Arial Narrow" w:cs="Arial Narrow"/>
                <w:b/>
                <w:bCs/>
              </w:rPr>
              <w:t xml:space="preserve"> Priority </w:t>
            </w:r>
          </w:p>
          <w:p w14:paraId="2F74B772" w14:textId="77777777" w:rsidR="00007A9A" w:rsidRDefault="00DF68E0" w:rsidP="00DF68E0">
            <w:pPr>
              <w:spacing w:after="200"/>
              <w:rPr>
                <w:rFonts w:ascii="Arial Narrow" w:hAnsi="Arial Narrow" w:cs="Arial Narrow"/>
              </w:rPr>
            </w:pPr>
            <w:r w:rsidRPr="00136229">
              <w:rPr>
                <w:rFonts w:ascii="Arial Narrow" w:hAnsi="Arial Narrow" w:cs="Arial Narrow"/>
              </w:rPr>
              <w:t xml:space="preserve">Improve access to water, sanitation, electricity, </w:t>
            </w:r>
            <w:proofErr w:type="gramStart"/>
            <w:r w:rsidRPr="00136229">
              <w:rPr>
                <w:rFonts w:ascii="Arial Narrow" w:hAnsi="Arial Narrow" w:cs="Arial Narrow"/>
              </w:rPr>
              <w:t>housing</w:t>
            </w:r>
            <w:proofErr w:type="gramEnd"/>
            <w:r w:rsidRPr="00136229">
              <w:rPr>
                <w:rFonts w:ascii="Arial Narrow" w:hAnsi="Arial Narrow" w:cs="Arial Narrow"/>
              </w:rPr>
              <w:t xml:space="preserve"> and roads in deprived areas, including completing the urban renewal projects.</w:t>
            </w:r>
          </w:p>
          <w:p w14:paraId="0B9014FA" w14:textId="77777777" w:rsidR="00BE36ED" w:rsidRPr="00BE36ED" w:rsidRDefault="00BE36ED" w:rsidP="00BE36ED">
            <w:pPr>
              <w:rPr>
                <w:rFonts w:ascii="Arial Narrow" w:hAnsi="Arial Narrow" w:cs="Arial Narrow"/>
                <w:b/>
                <w:bCs/>
              </w:rPr>
            </w:pPr>
            <w:r w:rsidRPr="00BE36ED">
              <w:rPr>
                <w:rFonts w:ascii="Arial Narrow" w:hAnsi="Arial Narrow" w:cs="Arial Narrow"/>
                <w:b/>
                <w:bCs/>
              </w:rPr>
              <w:t>Outcome as per approved Dept Strat Plan</w:t>
            </w:r>
          </w:p>
          <w:p w14:paraId="2F1715A2" w14:textId="670DE347" w:rsidR="00136229" w:rsidRDefault="00BE36ED" w:rsidP="00BE36ED">
            <w:pPr>
              <w:spacing w:after="200"/>
              <w:rPr>
                <w:rFonts w:ascii="Arial Narrow" w:hAnsi="Arial Narrow" w:cs="Arial Narrow"/>
              </w:rPr>
            </w:pPr>
            <w:r w:rsidRPr="00BE36ED">
              <w:rPr>
                <w:rFonts w:ascii="Arial Narrow" w:hAnsi="Arial Narrow" w:cs="Arial Narrow"/>
              </w:rPr>
              <w:t xml:space="preserve">Number of municipalities supported to implement infrastructure service delivery </w:t>
            </w:r>
            <w:r w:rsidR="00986EE3" w:rsidRPr="00BE36ED">
              <w:rPr>
                <w:rFonts w:ascii="Arial Narrow" w:hAnsi="Arial Narrow" w:cs="Arial Narrow"/>
              </w:rPr>
              <w:t>programmes.</w:t>
            </w:r>
          </w:p>
          <w:p w14:paraId="4D5D2796" w14:textId="09D155E1" w:rsidR="00D6377F" w:rsidRPr="005B6C42" w:rsidRDefault="005B6C42" w:rsidP="005B6C42">
            <w:pPr>
              <w:rPr>
                <w:rFonts w:ascii="Arial Narrow" w:hAnsi="Arial Narrow" w:cs="Arial Narrow"/>
                <w:b/>
                <w:bCs/>
              </w:rPr>
            </w:pPr>
            <w:r w:rsidRPr="005B6C42">
              <w:rPr>
                <w:rFonts w:ascii="Arial Narrow" w:hAnsi="Arial Narrow" w:cs="Arial Narrow"/>
                <w:b/>
                <w:bCs/>
              </w:rPr>
              <w:t>STRATEGIC REPORTING</w:t>
            </w:r>
          </w:p>
          <w:p w14:paraId="48ED144D" w14:textId="09060F2C" w:rsidR="00D6377F" w:rsidRDefault="00D6377F" w:rsidP="00D6377F">
            <w:pPr>
              <w:spacing w:after="200"/>
              <w:rPr>
                <w:rFonts w:ascii="Arial Narrow" w:hAnsi="Arial Narrow" w:cs="Arial Narrow"/>
              </w:rPr>
            </w:pPr>
            <w:r w:rsidRPr="00D6377F">
              <w:rPr>
                <w:rFonts w:ascii="Arial Narrow" w:hAnsi="Arial Narrow" w:cs="Arial Narrow"/>
              </w:rPr>
              <w:t>Summarised Dep</w:t>
            </w:r>
            <w:r w:rsidR="00CB12E2">
              <w:rPr>
                <w:rFonts w:ascii="Arial Narrow" w:hAnsi="Arial Narrow" w:cs="Arial Narrow"/>
              </w:rPr>
              <w:t xml:space="preserve">artment’s </w:t>
            </w:r>
            <w:r w:rsidRPr="00D6377F">
              <w:rPr>
                <w:rFonts w:ascii="Arial Narrow" w:hAnsi="Arial Narrow" w:cs="Arial Narrow"/>
              </w:rPr>
              <w:t>Performance during Q</w:t>
            </w:r>
            <w:r w:rsidR="00853884">
              <w:rPr>
                <w:rFonts w:ascii="Arial Narrow" w:hAnsi="Arial Narrow" w:cs="Arial Narrow"/>
              </w:rPr>
              <w:t>2</w:t>
            </w:r>
          </w:p>
          <w:p w14:paraId="37D3383C" w14:textId="228C5802" w:rsidR="00A32E8F" w:rsidRPr="009D781A" w:rsidRDefault="008078E5" w:rsidP="00D6377F">
            <w:pPr>
              <w:spacing w:after="200"/>
              <w:rPr>
                <w:rFonts w:ascii="Arial Narrow" w:hAnsi="Arial Narrow" w:cs="Arial Narrow"/>
                <w:b/>
                <w:bCs/>
              </w:rPr>
            </w:pPr>
            <w:r w:rsidRPr="009D781A">
              <w:rPr>
                <w:rFonts w:ascii="Arial Narrow" w:hAnsi="Arial Narrow" w:cs="Arial Narrow"/>
                <w:b/>
                <w:bCs/>
              </w:rPr>
              <w:t>Improved municipal performance in line with the B2B pillars.</w:t>
            </w:r>
          </w:p>
          <w:p w14:paraId="6A28F993" w14:textId="47312237" w:rsidR="00042BDE" w:rsidRPr="00F11099" w:rsidRDefault="00C150B6" w:rsidP="007F57AD">
            <w:pPr>
              <w:tabs>
                <w:tab w:val="left" w:pos="284"/>
                <w:tab w:val="left" w:pos="567"/>
                <w:tab w:val="left" w:pos="851"/>
              </w:tabs>
              <w:rPr>
                <w:rFonts w:ascii="Arial Narrow" w:eastAsia="Times New Roman" w:hAnsi="Arial Narrow" w:cstheme="minorHAnsi"/>
                <w:bCs/>
                <w:lang w:val="en-GB"/>
              </w:rPr>
            </w:pPr>
            <w:r>
              <w:rPr>
                <w:rFonts w:ascii="Arial Narrow" w:eastAsia="Times New Roman" w:hAnsi="Arial Narrow" w:cstheme="minorHAnsi"/>
                <w:bCs/>
                <w:lang w:val="en-GB"/>
              </w:rPr>
              <w:t>Three (</w:t>
            </w:r>
            <w:r w:rsidR="00042BDE" w:rsidRPr="00F11099">
              <w:rPr>
                <w:rFonts w:ascii="Arial Narrow" w:eastAsia="Times New Roman" w:hAnsi="Arial Narrow" w:cstheme="minorHAnsi"/>
                <w:bCs/>
                <w:lang w:val="en-GB"/>
              </w:rPr>
              <w:t>3</w:t>
            </w:r>
            <w:r>
              <w:rPr>
                <w:rFonts w:ascii="Arial Narrow" w:eastAsia="Times New Roman" w:hAnsi="Arial Narrow" w:cstheme="minorHAnsi"/>
                <w:bCs/>
                <w:lang w:val="en-GB"/>
              </w:rPr>
              <w:t>)</w:t>
            </w:r>
            <w:r w:rsidR="00042BDE" w:rsidRPr="00F11099">
              <w:rPr>
                <w:rFonts w:ascii="Arial Narrow" w:eastAsia="Times New Roman" w:hAnsi="Arial Narrow" w:cstheme="minorHAnsi"/>
                <w:bCs/>
                <w:lang w:val="en-GB"/>
              </w:rPr>
              <w:t xml:space="preserve"> Municipalities (Mogale City LM, Co</w:t>
            </w:r>
            <w:r w:rsidR="002F0568" w:rsidRPr="00F11099">
              <w:rPr>
                <w:rFonts w:ascii="Arial Narrow" w:eastAsia="Times New Roman" w:hAnsi="Arial Narrow" w:cstheme="minorHAnsi"/>
                <w:bCs/>
                <w:lang w:val="en-GB"/>
              </w:rPr>
              <w:t>J,</w:t>
            </w:r>
            <w:r w:rsidR="00042BDE" w:rsidRPr="00F11099">
              <w:rPr>
                <w:rFonts w:ascii="Arial Narrow" w:eastAsia="Times New Roman" w:hAnsi="Arial Narrow" w:cstheme="minorHAnsi"/>
                <w:bCs/>
                <w:lang w:val="en-GB"/>
              </w:rPr>
              <w:t xml:space="preserve"> and CoE) were supported to comply with Municipal Staff Regulations (MSR)</w:t>
            </w:r>
            <w:r w:rsidR="00DB1875">
              <w:rPr>
                <w:rFonts w:ascii="Arial Narrow" w:eastAsia="Times New Roman" w:hAnsi="Arial Narrow" w:cstheme="minorHAnsi"/>
                <w:bCs/>
                <w:lang w:val="en-GB"/>
              </w:rPr>
              <w:t>,</w:t>
            </w:r>
            <w:r w:rsidR="00042BDE" w:rsidRPr="00F11099">
              <w:rPr>
                <w:rFonts w:ascii="Arial Narrow" w:eastAsia="Times New Roman" w:hAnsi="Arial Narrow" w:cstheme="minorHAnsi"/>
                <w:bCs/>
                <w:lang w:val="en-GB"/>
              </w:rPr>
              <w:t xml:space="preserve"> Chapter 2 Staff Establishment. The support is targeted to all </w:t>
            </w:r>
            <w:r w:rsidR="00423A9F">
              <w:rPr>
                <w:rFonts w:ascii="Arial Narrow" w:eastAsia="Times New Roman" w:hAnsi="Arial Narrow" w:cstheme="minorHAnsi"/>
                <w:bCs/>
                <w:lang w:val="en-GB"/>
              </w:rPr>
              <w:t>three (</w:t>
            </w:r>
            <w:r w:rsidR="00042BDE" w:rsidRPr="00F11099">
              <w:rPr>
                <w:rFonts w:ascii="Arial Narrow" w:eastAsia="Times New Roman" w:hAnsi="Arial Narrow" w:cstheme="minorHAnsi"/>
                <w:bCs/>
                <w:lang w:val="en-GB"/>
              </w:rPr>
              <w:t>3</w:t>
            </w:r>
            <w:r w:rsidR="00423A9F">
              <w:rPr>
                <w:rFonts w:ascii="Arial Narrow" w:eastAsia="Times New Roman" w:hAnsi="Arial Narrow" w:cstheme="minorHAnsi"/>
                <w:bCs/>
                <w:lang w:val="en-GB"/>
              </w:rPr>
              <w:t>)</w:t>
            </w:r>
            <w:r w:rsidR="00042BDE" w:rsidRPr="00F11099">
              <w:rPr>
                <w:rFonts w:ascii="Arial Narrow" w:eastAsia="Times New Roman" w:hAnsi="Arial Narrow" w:cstheme="minorHAnsi"/>
                <w:bCs/>
                <w:lang w:val="en-GB"/>
              </w:rPr>
              <w:t xml:space="preserve"> Metros in GP and </w:t>
            </w:r>
            <w:r w:rsidR="00423A9F">
              <w:rPr>
                <w:rFonts w:ascii="Arial Narrow" w:eastAsia="Times New Roman" w:hAnsi="Arial Narrow" w:cstheme="minorHAnsi"/>
                <w:bCs/>
                <w:lang w:val="en-GB"/>
              </w:rPr>
              <w:t>two (</w:t>
            </w:r>
            <w:r w:rsidR="00042BDE" w:rsidRPr="00F11099">
              <w:rPr>
                <w:rFonts w:ascii="Arial Narrow" w:eastAsia="Times New Roman" w:hAnsi="Arial Narrow" w:cstheme="minorHAnsi"/>
                <w:bCs/>
                <w:lang w:val="en-GB"/>
              </w:rPr>
              <w:t>2</w:t>
            </w:r>
            <w:r w:rsidR="00423A9F">
              <w:rPr>
                <w:rFonts w:ascii="Arial Narrow" w:eastAsia="Times New Roman" w:hAnsi="Arial Narrow" w:cstheme="minorHAnsi"/>
                <w:bCs/>
                <w:lang w:val="en-GB"/>
              </w:rPr>
              <w:t>)</w:t>
            </w:r>
            <w:r w:rsidR="00042BDE" w:rsidRPr="00F11099">
              <w:rPr>
                <w:rFonts w:ascii="Arial Narrow" w:eastAsia="Times New Roman" w:hAnsi="Arial Narrow" w:cstheme="minorHAnsi"/>
                <w:bCs/>
                <w:lang w:val="en-GB"/>
              </w:rPr>
              <w:t xml:space="preserve"> Locals (Mogale City and Lesedi) Only C</w:t>
            </w:r>
            <w:r w:rsidR="006E12C8">
              <w:rPr>
                <w:rFonts w:ascii="Arial Narrow" w:eastAsia="Times New Roman" w:hAnsi="Arial Narrow" w:cstheme="minorHAnsi"/>
                <w:bCs/>
                <w:lang w:val="en-GB"/>
              </w:rPr>
              <w:t>o</w:t>
            </w:r>
            <w:r w:rsidR="00042BDE" w:rsidRPr="00F11099">
              <w:rPr>
                <w:rFonts w:ascii="Arial Narrow" w:eastAsia="Times New Roman" w:hAnsi="Arial Narrow" w:cstheme="minorHAnsi"/>
                <w:bCs/>
                <w:lang w:val="en-GB"/>
              </w:rPr>
              <w:t>T, C</w:t>
            </w:r>
            <w:r w:rsidR="006E12C8">
              <w:rPr>
                <w:rFonts w:ascii="Arial Narrow" w:eastAsia="Times New Roman" w:hAnsi="Arial Narrow" w:cstheme="minorHAnsi"/>
                <w:bCs/>
                <w:lang w:val="en-GB"/>
              </w:rPr>
              <w:t>o</w:t>
            </w:r>
            <w:r w:rsidR="00042BDE" w:rsidRPr="00F11099">
              <w:rPr>
                <w:rFonts w:ascii="Arial Narrow" w:eastAsia="Times New Roman" w:hAnsi="Arial Narrow" w:cstheme="minorHAnsi"/>
                <w:bCs/>
                <w:lang w:val="en-GB"/>
              </w:rPr>
              <w:t>E, and two</w:t>
            </w:r>
            <w:r w:rsidR="000B1A6C">
              <w:rPr>
                <w:rFonts w:ascii="Arial Narrow" w:eastAsia="Times New Roman" w:hAnsi="Arial Narrow" w:cstheme="minorHAnsi"/>
                <w:bCs/>
                <w:lang w:val="en-GB"/>
              </w:rPr>
              <w:t xml:space="preserve"> (2)</w:t>
            </w:r>
            <w:r w:rsidR="00042BDE" w:rsidRPr="00F11099">
              <w:rPr>
                <w:rFonts w:ascii="Arial Narrow" w:eastAsia="Times New Roman" w:hAnsi="Arial Narrow" w:cstheme="minorHAnsi"/>
                <w:bCs/>
                <w:lang w:val="en-GB"/>
              </w:rPr>
              <w:t xml:space="preserve"> locals have submitted documents for validation. On </w:t>
            </w:r>
            <w:r w:rsidR="00631A46">
              <w:rPr>
                <w:rFonts w:ascii="Arial Narrow" w:eastAsia="Times New Roman" w:hAnsi="Arial Narrow" w:cstheme="minorHAnsi"/>
                <w:bCs/>
                <w:lang w:val="en-GB"/>
              </w:rPr>
              <w:t xml:space="preserve">the </w:t>
            </w:r>
            <w:r w:rsidR="00042BDE" w:rsidRPr="00F11099">
              <w:rPr>
                <w:rFonts w:ascii="Arial Narrow" w:eastAsia="Times New Roman" w:hAnsi="Arial Narrow" w:cstheme="minorHAnsi"/>
                <w:bCs/>
                <w:lang w:val="en-GB"/>
              </w:rPr>
              <w:t>13</w:t>
            </w:r>
            <w:r w:rsidR="00631A46" w:rsidRPr="00631A46">
              <w:rPr>
                <w:rFonts w:ascii="Arial Narrow" w:eastAsia="Times New Roman" w:hAnsi="Arial Narrow" w:cstheme="minorHAnsi"/>
                <w:bCs/>
                <w:vertAlign w:val="superscript"/>
                <w:lang w:val="en-GB"/>
              </w:rPr>
              <w:t>th</w:t>
            </w:r>
            <w:r w:rsidR="00631A46">
              <w:rPr>
                <w:rFonts w:ascii="Arial Narrow" w:eastAsia="Times New Roman" w:hAnsi="Arial Narrow" w:cstheme="minorHAnsi"/>
                <w:bCs/>
                <w:lang w:val="en-GB"/>
              </w:rPr>
              <w:t xml:space="preserve"> </w:t>
            </w:r>
            <w:r w:rsidR="00F01841">
              <w:rPr>
                <w:rFonts w:ascii="Arial Narrow" w:eastAsia="Times New Roman" w:hAnsi="Arial Narrow" w:cstheme="minorHAnsi"/>
                <w:bCs/>
                <w:lang w:val="en-GB"/>
              </w:rPr>
              <w:t xml:space="preserve">of </w:t>
            </w:r>
            <w:r w:rsidR="00F01841" w:rsidRPr="00F11099">
              <w:rPr>
                <w:rFonts w:ascii="Arial Narrow" w:eastAsia="Times New Roman" w:hAnsi="Arial Narrow" w:cstheme="minorHAnsi"/>
                <w:bCs/>
                <w:lang w:val="en-GB"/>
              </w:rPr>
              <w:t>September</w:t>
            </w:r>
            <w:r w:rsidR="00042BDE" w:rsidRPr="00F11099">
              <w:rPr>
                <w:rFonts w:ascii="Arial Narrow" w:eastAsia="Times New Roman" w:hAnsi="Arial Narrow" w:cstheme="minorHAnsi"/>
                <w:bCs/>
                <w:lang w:val="en-GB"/>
              </w:rPr>
              <w:t xml:space="preserve"> 2023, the Pilot session started with Lesedi, and to be completed on </w:t>
            </w:r>
            <w:r w:rsidR="00631A46">
              <w:rPr>
                <w:rFonts w:ascii="Arial Narrow" w:eastAsia="Times New Roman" w:hAnsi="Arial Narrow" w:cstheme="minorHAnsi"/>
                <w:bCs/>
                <w:lang w:val="en-GB"/>
              </w:rPr>
              <w:t xml:space="preserve">the </w:t>
            </w:r>
            <w:r w:rsidR="00042BDE" w:rsidRPr="00F11099">
              <w:rPr>
                <w:rFonts w:ascii="Arial Narrow" w:eastAsia="Times New Roman" w:hAnsi="Arial Narrow" w:cstheme="minorHAnsi"/>
                <w:bCs/>
                <w:lang w:val="en-GB"/>
              </w:rPr>
              <w:t>13</w:t>
            </w:r>
            <w:r w:rsidR="00631A46" w:rsidRPr="00631A46">
              <w:rPr>
                <w:rFonts w:ascii="Arial Narrow" w:eastAsia="Times New Roman" w:hAnsi="Arial Narrow" w:cstheme="minorHAnsi"/>
                <w:bCs/>
                <w:vertAlign w:val="superscript"/>
                <w:lang w:val="en-GB"/>
              </w:rPr>
              <w:t>th</w:t>
            </w:r>
            <w:r w:rsidR="00631A46">
              <w:rPr>
                <w:rFonts w:ascii="Arial Narrow" w:eastAsia="Times New Roman" w:hAnsi="Arial Narrow" w:cstheme="minorHAnsi"/>
                <w:bCs/>
                <w:lang w:val="en-GB"/>
              </w:rPr>
              <w:t xml:space="preserve"> of</w:t>
            </w:r>
            <w:r w:rsidR="00042BDE" w:rsidRPr="00F11099">
              <w:rPr>
                <w:rFonts w:ascii="Arial Narrow" w:eastAsia="Times New Roman" w:hAnsi="Arial Narrow" w:cstheme="minorHAnsi"/>
                <w:bCs/>
                <w:lang w:val="en-GB"/>
              </w:rPr>
              <w:t xml:space="preserve"> October 2023. Midvaal Local Municipality</w:t>
            </w:r>
            <w:r w:rsidR="00F01841">
              <w:rPr>
                <w:rFonts w:ascii="Arial Narrow" w:eastAsia="Times New Roman" w:hAnsi="Arial Narrow" w:cstheme="minorHAnsi"/>
                <w:bCs/>
                <w:lang w:val="en-GB"/>
              </w:rPr>
              <w:t>’s a</w:t>
            </w:r>
            <w:r w:rsidR="00042BDE" w:rsidRPr="00F11099">
              <w:rPr>
                <w:rFonts w:ascii="Arial Narrow" w:eastAsia="Times New Roman" w:hAnsi="Arial Narrow" w:cstheme="minorHAnsi"/>
                <w:bCs/>
                <w:lang w:val="en-GB"/>
              </w:rPr>
              <w:t>mended Staff Establishment Pack was received in July 2023. This was followed by a review and second analysis which was concluded by a signed letter from the MEC, dated 3</w:t>
            </w:r>
            <w:r w:rsidR="00F01841" w:rsidRPr="00F01841">
              <w:rPr>
                <w:rFonts w:ascii="Arial Narrow" w:eastAsia="Times New Roman" w:hAnsi="Arial Narrow" w:cstheme="minorHAnsi"/>
                <w:bCs/>
                <w:vertAlign w:val="superscript"/>
                <w:lang w:val="en-GB"/>
              </w:rPr>
              <w:t>rd</w:t>
            </w:r>
            <w:r w:rsidR="00F01841">
              <w:rPr>
                <w:rFonts w:ascii="Arial Narrow" w:eastAsia="Times New Roman" w:hAnsi="Arial Narrow" w:cstheme="minorHAnsi"/>
                <w:bCs/>
                <w:lang w:val="en-GB"/>
              </w:rPr>
              <w:t xml:space="preserve"> of</w:t>
            </w:r>
            <w:r w:rsidR="00042BDE" w:rsidRPr="00F11099">
              <w:rPr>
                <w:rFonts w:ascii="Arial Narrow" w:eastAsia="Times New Roman" w:hAnsi="Arial Narrow" w:cstheme="minorHAnsi"/>
                <w:bCs/>
                <w:lang w:val="en-GB"/>
              </w:rPr>
              <w:t xml:space="preserve"> August 2023. Knowledge Sharing Sessions on the implementation of Chapter 2 MSR was held on 24</w:t>
            </w:r>
            <w:r w:rsidR="006D74BD" w:rsidRPr="006D74BD">
              <w:rPr>
                <w:rFonts w:ascii="Arial Narrow" w:eastAsia="Times New Roman" w:hAnsi="Arial Narrow" w:cstheme="minorHAnsi"/>
                <w:bCs/>
                <w:vertAlign w:val="superscript"/>
                <w:lang w:val="en-GB"/>
              </w:rPr>
              <w:t>th</w:t>
            </w:r>
            <w:r w:rsidR="006D74BD">
              <w:rPr>
                <w:rFonts w:ascii="Arial Narrow" w:eastAsia="Times New Roman" w:hAnsi="Arial Narrow" w:cstheme="minorHAnsi"/>
                <w:bCs/>
                <w:lang w:val="en-GB"/>
              </w:rPr>
              <w:t xml:space="preserve"> </w:t>
            </w:r>
            <w:r w:rsidR="00042BDE" w:rsidRPr="00F11099">
              <w:rPr>
                <w:rFonts w:ascii="Arial Narrow" w:eastAsia="Times New Roman" w:hAnsi="Arial Narrow" w:cstheme="minorHAnsi"/>
                <w:bCs/>
                <w:lang w:val="en-GB"/>
              </w:rPr>
              <w:t>-25</w:t>
            </w:r>
            <w:r w:rsidR="006D74BD" w:rsidRPr="006D74BD">
              <w:rPr>
                <w:rFonts w:ascii="Arial Narrow" w:eastAsia="Times New Roman" w:hAnsi="Arial Narrow" w:cstheme="minorHAnsi"/>
                <w:bCs/>
                <w:vertAlign w:val="superscript"/>
                <w:lang w:val="en-GB"/>
              </w:rPr>
              <w:t>th</w:t>
            </w:r>
            <w:r w:rsidR="006D74BD">
              <w:rPr>
                <w:rFonts w:ascii="Arial Narrow" w:eastAsia="Times New Roman" w:hAnsi="Arial Narrow" w:cstheme="minorHAnsi"/>
                <w:bCs/>
                <w:lang w:val="en-GB"/>
              </w:rPr>
              <w:t xml:space="preserve"> of</w:t>
            </w:r>
            <w:r w:rsidR="00042BDE" w:rsidRPr="00F11099">
              <w:rPr>
                <w:rFonts w:ascii="Arial Narrow" w:eastAsia="Times New Roman" w:hAnsi="Arial Narrow" w:cstheme="minorHAnsi"/>
                <w:bCs/>
                <w:lang w:val="en-GB"/>
              </w:rPr>
              <w:t xml:space="preserve"> August and 5</w:t>
            </w:r>
            <w:r w:rsidR="00EC702D" w:rsidRPr="00EC702D">
              <w:rPr>
                <w:rFonts w:ascii="Arial Narrow" w:eastAsia="Times New Roman" w:hAnsi="Arial Narrow" w:cstheme="minorHAnsi"/>
                <w:bCs/>
                <w:vertAlign w:val="superscript"/>
                <w:lang w:val="en-GB"/>
              </w:rPr>
              <w:t>th</w:t>
            </w:r>
            <w:r w:rsidR="00EC702D">
              <w:rPr>
                <w:rFonts w:ascii="Arial Narrow" w:eastAsia="Times New Roman" w:hAnsi="Arial Narrow" w:cstheme="minorHAnsi"/>
                <w:bCs/>
                <w:lang w:val="en-GB"/>
              </w:rPr>
              <w:t xml:space="preserve"> </w:t>
            </w:r>
            <w:r w:rsidR="00042BDE" w:rsidRPr="00F11099">
              <w:rPr>
                <w:rFonts w:ascii="Arial Narrow" w:eastAsia="Times New Roman" w:hAnsi="Arial Narrow" w:cstheme="minorHAnsi"/>
                <w:bCs/>
                <w:lang w:val="en-GB"/>
              </w:rPr>
              <w:t>-7</w:t>
            </w:r>
            <w:r w:rsidR="00EC702D" w:rsidRPr="00EC702D">
              <w:rPr>
                <w:rFonts w:ascii="Arial Narrow" w:eastAsia="Times New Roman" w:hAnsi="Arial Narrow" w:cstheme="minorHAnsi"/>
                <w:bCs/>
                <w:vertAlign w:val="superscript"/>
                <w:lang w:val="en-GB"/>
              </w:rPr>
              <w:t>th</w:t>
            </w:r>
            <w:r w:rsidR="00EC702D">
              <w:rPr>
                <w:rFonts w:ascii="Arial Narrow" w:eastAsia="Times New Roman" w:hAnsi="Arial Narrow" w:cstheme="minorHAnsi"/>
                <w:bCs/>
                <w:lang w:val="en-GB"/>
              </w:rPr>
              <w:t xml:space="preserve"> of</w:t>
            </w:r>
            <w:r w:rsidR="00042BDE" w:rsidRPr="00F11099">
              <w:rPr>
                <w:rFonts w:ascii="Arial Narrow" w:eastAsia="Times New Roman" w:hAnsi="Arial Narrow" w:cstheme="minorHAnsi"/>
                <w:bCs/>
                <w:lang w:val="en-GB"/>
              </w:rPr>
              <w:t xml:space="preserve"> Sept 2023 Training was held with Mogale City LM, City of </w:t>
            </w:r>
            <w:r w:rsidR="006D74BD" w:rsidRPr="00F11099">
              <w:rPr>
                <w:rFonts w:ascii="Arial Narrow" w:eastAsia="Times New Roman" w:hAnsi="Arial Narrow" w:cstheme="minorHAnsi"/>
                <w:bCs/>
                <w:lang w:val="en-GB"/>
              </w:rPr>
              <w:t>Johannesburg,</w:t>
            </w:r>
            <w:r w:rsidR="00042BDE" w:rsidRPr="00F11099">
              <w:rPr>
                <w:rFonts w:ascii="Arial Narrow" w:eastAsia="Times New Roman" w:hAnsi="Arial Narrow" w:cstheme="minorHAnsi"/>
                <w:bCs/>
                <w:lang w:val="en-GB"/>
              </w:rPr>
              <w:t xml:space="preserve"> and City of Ekurhuleni.</w:t>
            </w:r>
          </w:p>
          <w:p w14:paraId="0B38945D" w14:textId="77777777" w:rsidR="00042BDE" w:rsidRDefault="00042BDE" w:rsidP="007F57AD">
            <w:pPr>
              <w:tabs>
                <w:tab w:val="left" w:pos="284"/>
                <w:tab w:val="left" w:pos="567"/>
                <w:tab w:val="left" w:pos="851"/>
              </w:tabs>
              <w:rPr>
                <w:rFonts w:ascii="Arial Narrow" w:eastAsia="Times New Roman" w:hAnsi="Arial Narrow" w:cstheme="minorHAnsi"/>
                <w:b/>
                <w:lang w:val="en-GB"/>
              </w:rPr>
            </w:pPr>
          </w:p>
          <w:p w14:paraId="5C3B2905" w14:textId="40DCB32F" w:rsidR="00775940" w:rsidRDefault="00775940" w:rsidP="007F57AD">
            <w:pPr>
              <w:tabs>
                <w:tab w:val="left" w:pos="284"/>
                <w:tab w:val="left" w:pos="567"/>
                <w:tab w:val="left" w:pos="851"/>
              </w:tabs>
              <w:rPr>
                <w:rFonts w:ascii="Arial Narrow" w:eastAsia="Times New Roman" w:hAnsi="Arial Narrow" w:cstheme="minorHAnsi"/>
                <w:b/>
                <w:lang w:val="en-GB"/>
              </w:rPr>
            </w:pPr>
            <w:r w:rsidRPr="00775940">
              <w:rPr>
                <w:rFonts w:ascii="Arial Narrow" w:eastAsia="Times New Roman" w:hAnsi="Arial Narrow" w:cstheme="minorHAnsi"/>
                <w:b/>
                <w:lang w:val="en-GB"/>
              </w:rPr>
              <w:t>Spatially Integrated Cities and Transformed Communities in the Gauteng Province.</w:t>
            </w:r>
          </w:p>
          <w:p w14:paraId="637A4CFE" w14:textId="68395D57" w:rsidR="00C150B6" w:rsidRPr="002571D0" w:rsidRDefault="002571D0" w:rsidP="00C150B6">
            <w:pPr>
              <w:tabs>
                <w:tab w:val="left" w:pos="284"/>
                <w:tab w:val="left" w:pos="567"/>
                <w:tab w:val="left" w:pos="851"/>
              </w:tabs>
              <w:rPr>
                <w:rFonts w:ascii="Arial Narrow" w:eastAsia="Times New Roman" w:hAnsi="Arial Narrow" w:cstheme="minorHAnsi"/>
                <w:bCs/>
                <w:lang w:val="en-GB"/>
              </w:rPr>
            </w:pPr>
            <w:r>
              <w:rPr>
                <w:rFonts w:ascii="Arial Narrow" w:eastAsia="Times New Roman" w:hAnsi="Arial Narrow" w:cstheme="minorHAnsi"/>
                <w:bCs/>
                <w:lang w:val="en-GB"/>
              </w:rPr>
              <w:t>Six (</w:t>
            </w:r>
            <w:r w:rsidR="00C150B6" w:rsidRPr="002571D0">
              <w:rPr>
                <w:rFonts w:ascii="Arial Narrow" w:eastAsia="Times New Roman" w:hAnsi="Arial Narrow" w:cstheme="minorHAnsi"/>
                <w:bCs/>
                <w:lang w:val="en-GB"/>
              </w:rPr>
              <w:t>6</w:t>
            </w:r>
            <w:r>
              <w:rPr>
                <w:rFonts w:ascii="Arial Narrow" w:eastAsia="Times New Roman" w:hAnsi="Arial Narrow" w:cstheme="minorHAnsi"/>
                <w:bCs/>
                <w:lang w:val="en-GB"/>
              </w:rPr>
              <w:t>)</w:t>
            </w:r>
            <w:r w:rsidR="00C150B6" w:rsidRPr="002571D0">
              <w:rPr>
                <w:rFonts w:ascii="Arial Narrow" w:eastAsia="Times New Roman" w:hAnsi="Arial Narrow" w:cstheme="minorHAnsi"/>
                <w:bCs/>
                <w:lang w:val="en-GB"/>
              </w:rPr>
              <w:t xml:space="preserve"> Municipalities were supported with technical skills capacity through multi-disciplinary teams (engineering and town planning).</w:t>
            </w:r>
          </w:p>
          <w:p w14:paraId="4FAE78D0" w14:textId="65E8A37B" w:rsidR="00775940" w:rsidRDefault="00C150B6" w:rsidP="00C150B6">
            <w:pPr>
              <w:tabs>
                <w:tab w:val="left" w:pos="284"/>
                <w:tab w:val="left" w:pos="567"/>
                <w:tab w:val="left" w:pos="851"/>
              </w:tabs>
              <w:rPr>
                <w:rFonts w:ascii="Arial Narrow" w:eastAsia="Times New Roman" w:hAnsi="Arial Narrow" w:cstheme="minorHAnsi"/>
                <w:bCs/>
                <w:lang w:val="en-GB"/>
              </w:rPr>
            </w:pPr>
            <w:r w:rsidRPr="002571D0">
              <w:rPr>
                <w:rFonts w:ascii="Arial Narrow" w:eastAsia="Times New Roman" w:hAnsi="Arial Narrow" w:cstheme="minorHAnsi"/>
                <w:bCs/>
                <w:lang w:val="en-GB"/>
              </w:rPr>
              <w:t>-Assisted LLM with WCDM strategy.</w:t>
            </w:r>
          </w:p>
          <w:p w14:paraId="658DB2F5" w14:textId="73051128" w:rsidR="00E25F52" w:rsidRPr="00E25F52" w:rsidRDefault="00755A7B" w:rsidP="00E25F52">
            <w:pPr>
              <w:tabs>
                <w:tab w:val="left" w:pos="284"/>
                <w:tab w:val="left" w:pos="567"/>
                <w:tab w:val="left" w:pos="851"/>
              </w:tabs>
              <w:rPr>
                <w:rFonts w:ascii="Arial Narrow" w:eastAsia="Times New Roman" w:hAnsi="Arial Narrow" w:cstheme="minorHAnsi"/>
                <w:bCs/>
                <w:lang w:val="en-GB"/>
              </w:rPr>
            </w:pPr>
            <w:r>
              <w:rPr>
                <w:rFonts w:ascii="Arial Narrow" w:eastAsia="Times New Roman" w:hAnsi="Arial Narrow" w:cstheme="minorHAnsi"/>
                <w:bCs/>
                <w:lang w:val="en-GB"/>
              </w:rPr>
              <w:t>-</w:t>
            </w:r>
            <w:r w:rsidR="00E25F52" w:rsidRPr="00E25F52">
              <w:rPr>
                <w:rFonts w:ascii="Arial Narrow" w:eastAsia="Times New Roman" w:hAnsi="Arial Narrow" w:cstheme="minorHAnsi"/>
                <w:bCs/>
                <w:lang w:val="en-GB"/>
              </w:rPr>
              <w:t>Draft tariffs are fully ready for submission to NERSA, once NERSA announces the municipal tariff increase value.</w:t>
            </w:r>
          </w:p>
          <w:p w14:paraId="08173ED1" w14:textId="77777777" w:rsidR="00E25F52" w:rsidRPr="00E25F52" w:rsidRDefault="00E25F52" w:rsidP="00E25F52">
            <w:pPr>
              <w:tabs>
                <w:tab w:val="left" w:pos="284"/>
                <w:tab w:val="left" w:pos="567"/>
                <w:tab w:val="left" w:pos="851"/>
              </w:tabs>
              <w:rPr>
                <w:rFonts w:ascii="Arial Narrow" w:eastAsia="Times New Roman" w:hAnsi="Arial Narrow" w:cstheme="minorHAnsi"/>
                <w:bCs/>
                <w:lang w:val="en-GB"/>
              </w:rPr>
            </w:pPr>
            <w:r w:rsidRPr="00E25F52">
              <w:rPr>
                <w:rFonts w:ascii="Arial Narrow" w:eastAsia="Times New Roman" w:hAnsi="Arial Narrow" w:cstheme="minorHAnsi"/>
                <w:bCs/>
                <w:lang w:val="en-GB"/>
              </w:rPr>
              <w:t>- Completed Water Conservation Demand management plans for Merafong, Lesedi, Rand West City but implementation is partial due to funding.</w:t>
            </w:r>
          </w:p>
          <w:p w14:paraId="7ED19B48" w14:textId="77777777" w:rsidR="00E25F52" w:rsidRPr="00E25F52" w:rsidRDefault="00E25F52" w:rsidP="00E25F52">
            <w:pPr>
              <w:tabs>
                <w:tab w:val="left" w:pos="284"/>
                <w:tab w:val="left" w:pos="567"/>
                <w:tab w:val="left" w:pos="851"/>
              </w:tabs>
              <w:rPr>
                <w:rFonts w:ascii="Arial Narrow" w:eastAsia="Times New Roman" w:hAnsi="Arial Narrow" w:cstheme="minorHAnsi"/>
                <w:bCs/>
                <w:lang w:val="en-GB"/>
              </w:rPr>
            </w:pPr>
            <w:r w:rsidRPr="00E25F52">
              <w:rPr>
                <w:rFonts w:ascii="Arial Narrow" w:eastAsia="Times New Roman" w:hAnsi="Arial Narrow" w:cstheme="minorHAnsi"/>
                <w:bCs/>
                <w:lang w:val="en-GB"/>
              </w:rPr>
              <w:t>- Supply and demand requirements for HSD projects concluded for five (5) Locals focusing on Bulk Services Infrastructure needs for Human Settlements Developments.</w:t>
            </w:r>
          </w:p>
          <w:p w14:paraId="4A3F24AC" w14:textId="32D3E47A" w:rsidR="00E25F52" w:rsidRPr="00E25F52" w:rsidRDefault="00E25F52" w:rsidP="00E25F52">
            <w:pPr>
              <w:tabs>
                <w:tab w:val="left" w:pos="284"/>
                <w:tab w:val="left" w:pos="567"/>
                <w:tab w:val="left" w:pos="851"/>
              </w:tabs>
              <w:rPr>
                <w:rFonts w:ascii="Arial Narrow" w:eastAsia="Times New Roman" w:hAnsi="Arial Narrow" w:cstheme="minorHAnsi"/>
                <w:bCs/>
                <w:lang w:val="en-GB"/>
              </w:rPr>
            </w:pPr>
            <w:r w:rsidRPr="00E25F52">
              <w:rPr>
                <w:rFonts w:ascii="Arial Narrow" w:eastAsia="Times New Roman" w:hAnsi="Arial Narrow" w:cstheme="minorHAnsi"/>
                <w:bCs/>
                <w:lang w:val="en-GB"/>
              </w:rPr>
              <w:t xml:space="preserve">-Continued project and contract management support to major housing projects and capex projects in Merafong municipality (Projects include Kokosi roads &amp; stormwater phase 4, Wedela WWTW, 007 </w:t>
            </w:r>
            <w:r w:rsidR="00EC702D" w:rsidRPr="00E25F52">
              <w:rPr>
                <w:rFonts w:ascii="Arial Narrow" w:eastAsia="Times New Roman" w:hAnsi="Arial Narrow" w:cstheme="minorHAnsi"/>
                <w:bCs/>
                <w:lang w:val="en-GB"/>
              </w:rPr>
              <w:t>Reservoir</w:t>
            </w:r>
            <w:r w:rsidRPr="00E25F52">
              <w:rPr>
                <w:rFonts w:ascii="Arial Narrow" w:eastAsia="Times New Roman" w:hAnsi="Arial Narrow" w:cstheme="minorHAnsi"/>
                <w:bCs/>
                <w:lang w:val="en-GB"/>
              </w:rPr>
              <w:t>, Kokosi WWTW, Khutsong X5 &amp; 6 roads &amp; stormwater, Elijah Barayi Village, Kokosi Cemetery).</w:t>
            </w:r>
          </w:p>
          <w:p w14:paraId="61990D28" w14:textId="574CA3A5" w:rsidR="002571D0" w:rsidRPr="002571D0" w:rsidRDefault="00E25F52" w:rsidP="00E25F52">
            <w:pPr>
              <w:tabs>
                <w:tab w:val="left" w:pos="284"/>
                <w:tab w:val="left" w:pos="567"/>
                <w:tab w:val="left" w:pos="851"/>
              </w:tabs>
              <w:rPr>
                <w:rFonts w:ascii="Arial Narrow" w:eastAsia="Times New Roman" w:hAnsi="Arial Narrow" w:cstheme="minorHAnsi"/>
                <w:bCs/>
                <w:lang w:val="en-GB"/>
              </w:rPr>
            </w:pPr>
            <w:r w:rsidRPr="00E25F52">
              <w:rPr>
                <w:rFonts w:ascii="Arial Narrow" w:eastAsia="Times New Roman" w:hAnsi="Arial Narrow" w:cstheme="minorHAnsi"/>
                <w:bCs/>
                <w:lang w:val="en-GB"/>
              </w:rPr>
              <w:t>- Assisted Emfuleni LM, Lesedi LM and Rand West City LM with the development of operation and maintenance manuals and operating</w:t>
            </w:r>
            <w:r w:rsidR="004F0848">
              <w:rPr>
                <w:rFonts w:ascii="Arial Narrow" w:eastAsia="Times New Roman" w:hAnsi="Arial Narrow" w:cstheme="minorHAnsi"/>
                <w:bCs/>
                <w:lang w:val="en-GB"/>
              </w:rPr>
              <w:t>.</w:t>
            </w:r>
          </w:p>
          <w:p w14:paraId="0FE6BB42" w14:textId="77777777" w:rsidR="00FE01D1" w:rsidRPr="002571D0" w:rsidRDefault="00FE01D1" w:rsidP="00FE01D1">
            <w:pPr>
              <w:pStyle w:val="ListParagraph"/>
              <w:tabs>
                <w:tab w:val="left" w:pos="284"/>
                <w:tab w:val="left" w:pos="567"/>
                <w:tab w:val="left" w:pos="851"/>
              </w:tabs>
              <w:spacing w:after="0"/>
              <w:ind w:left="1647"/>
              <w:jc w:val="both"/>
              <w:rPr>
                <w:rFonts w:ascii="Arial Narrow" w:eastAsia="Times New Roman" w:hAnsi="Arial Narrow" w:cstheme="minorHAnsi"/>
                <w:bCs/>
                <w:lang w:val="en-GB"/>
              </w:rPr>
            </w:pPr>
          </w:p>
          <w:p w14:paraId="1D7E33C1" w14:textId="2C8937ED" w:rsidR="00BE36ED" w:rsidRPr="00FE01D1" w:rsidRDefault="00BE36ED" w:rsidP="00FE01D1">
            <w:pPr>
              <w:tabs>
                <w:tab w:val="left" w:pos="284"/>
                <w:tab w:val="left" w:pos="567"/>
                <w:tab w:val="left" w:pos="851"/>
              </w:tabs>
              <w:spacing w:line="276" w:lineRule="auto"/>
              <w:rPr>
                <w:rFonts w:ascii="Calibri" w:eastAsia="Times New Roman" w:hAnsi="Calibri" w:cs="Calibri"/>
                <w:bCs/>
                <w:iCs/>
                <w:lang w:val="en-US"/>
              </w:rPr>
            </w:pPr>
          </w:p>
        </w:tc>
      </w:tr>
    </w:tbl>
    <w:p w14:paraId="40ED79F4" w14:textId="01E8528F" w:rsidR="007B55E7" w:rsidRPr="001619AC" w:rsidRDefault="007B55E7" w:rsidP="00E676AD">
      <w:pPr>
        <w:pStyle w:val="Heading1"/>
        <w:shd w:val="clear" w:color="auto" w:fill="D9D9D9" w:themeFill="background1" w:themeFillShade="D9"/>
        <w:rPr>
          <w:rFonts w:ascii="Arial Narrow" w:hAnsi="Arial Narrow"/>
          <w:color w:val="auto"/>
          <w:sz w:val="22"/>
          <w:szCs w:val="22"/>
        </w:rPr>
      </w:pPr>
      <w:bookmarkStart w:id="8" w:name="_Toc50576912"/>
      <w:r w:rsidRPr="001619AC">
        <w:rPr>
          <w:rFonts w:ascii="Arial Narrow" w:hAnsi="Arial Narrow"/>
          <w:color w:val="auto"/>
          <w:sz w:val="22"/>
          <w:szCs w:val="22"/>
        </w:rPr>
        <w:t>2</w:t>
      </w:r>
      <w:r w:rsidR="00AF23BE">
        <w:rPr>
          <w:rFonts w:ascii="Arial Narrow" w:hAnsi="Arial Narrow"/>
          <w:color w:val="auto"/>
          <w:sz w:val="22"/>
          <w:szCs w:val="22"/>
        </w:rPr>
        <w:t>.</w:t>
      </w:r>
      <w:r w:rsidRPr="001619AC">
        <w:rPr>
          <w:rFonts w:ascii="Arial Narrow" w:hAnsi="Arial Narrow"/>
          <w:color w:val="auto"/>
          <w:sz w:val="22"/>
          <w:szCs w:val="22"/>
        </w:rPr>
        <w:tab/>
      </w:r>
      <w:r w:rsidR="00035362" w:rsidRPr="001619AC">
        <w:rPr>
          <w:rFonts w:ascii="Arial Narrow" w:hAnsi="Arial Narrow"/>
          <w:color w:val="auto"/>
          <w:sz w:val="22"/>
          <w:szCs w:val="22"/>
        </w:rPr>
        <w:t xml:space="preserve">OVERSIGHT ON </w:t>
      </w:r>
      <w:r w:rsidR="00D74068" w:rsidRPr="001619AC">
        <w:rPr>
          <w:rFonts w:ascii="Arial Narrow" w:hAnsi="Arial Narrow"/>
          <w:color w:val="auto"/>
          <w:sz w:val="22"/>
          <w:szCs w:val="22"/>
        </w:rPr>
        <w:t>DEPARTMENT / ENTITY</w:t>
      </w:r>
      <w:r w:rsidRPr="001619AC">
        <w:rPr>
          <w:rFonts w:ascii="Arial Narrow" w:hAnsi="Arial Narrow"/>
          <w:color w:val="auto"/>
          <w:sz w:val="22"/>
          <w:szCs w:val="22"/>
        </w:rPr>
        <w:t xml:space="preserve"> ACHIEVEMENT OF APP TARGETS</w:t>
      </w:r>
      <w:bookmarkEnd w:id="8"/>
    </w:p>
    <w:p w14:paraId="1C09D999" w14:textId="7AEC1F96" w:rsidR="007B55E7" w:rsidRPr="001619AC" w:rsidRDefault="007B55E7" w:rsidP="00DF79C6">
      <w:pPr>
        <w:spacing w:line="240" w:lineRule="auto"/>
        <w:jc w:val="left"/>
        <w:rPr>
          <w:rFonts w:ascii="Arial Narrow" w:hAnsi="Arial Narrow"/>
        </w:rPr>
      </w:pPr>
    </w:p>
    <w:tbl>
      <w:tblPr>
        <w:tblStyle w:val="TableGrid"/>
        <w:tblW w:w="13892" w:type="dxa"/>
        <w:tblInd w:w="-5" w:type="dxa"/>
        <w:tblLook w:val="04A0" w:firstRow="1" w:lastRow="0" w:firstColumn="1" w:lastColumn="0" w:noHBand="0" w:noVBand="1"/>
      </w:tblPr>
      <w:tblGrid>
        <w:gridCol w:w="13892"/>
      </w:tblGrid>
      <w:tr w:rsidR="007B55E7" w:rsidRPr="001619AC" w14:paraId="6359911D" w14:textId="77777777" w:rsidTr="00035362">
        <w:trPr>
          <w:tblHeader/>
        </w:trPr>
        <w:tc>
          <w:tcPr>
            <w:tcW w:w="13892" w:type="dxa"/>
            <w:shd w:val="clear" w:color="auto" w:fill="EAF1DD" w:themeFill="accent3" w:themeFillTint="33"/>
          </w:tcPr>
          <w:p w14:paraId="4AEC3928" w14:textId="571F5F47" w:rsidR="007B55E7" w:rsidRPr="001619AC" w:rsidRDefault="002A7022" w:rsidP="002A7022">
            <w:pPr>
              <w:rPr>
                <w:rFonts w:ascii="Arial Narrow" w:hAnsi="Arial Narrow" w:cs="Arial Narrow"/>
                <w:b/>
              </w:rPr>
            </w:pPr>
            <w:r w:rsidRPr="001619AC">
              <w:rPr>
                <w:rFonts w:ascii="Arial Narrow" w:hAnsi="Arial Narrow" w:cs="Arial Narrow"/>
                <w:b/>
              </w:rPr>
              <w:t>2 [</w:t>
            </w:r>
            <w:r w:rsidR="007B55E7" w:rsidRPr="001619AC">
              <w:rPr>
                <w:rFonts w:ascii="Arial Narrow" w:hAnsi="Arial Narrow" w:cs="Arial Narrow"/>
                <w:b/>
              </w:rPr>
              <w:t xml:space="preserve">THE DETAILS ON </w:t>
            </w:r>
            <w:r w:rsidR="00D74068" w:rsidRPr="001619AC">
              <w:rPr>
                <w:rFonts w:ascii="Arial Narrow" w:hAnsi="Arial Narrow" w:cs="Arial Narrow"/>
                <w:b/>
              </w:rPr>
              <w:t>DEPARTMENT / ENTITY</w:t>
            </w:r>
            <w:r w:rsidR="007B55E7" w:rsidRPr="001619AC">
              <w:rPr>
                <w:rFonts w:ascii="Arial Narrow" w:hAnsi="Arial Narrow" w:cs="Arial Narrow"/>
                <w:b/>
              </w:rPr>
              <w:t xml:space="preserve"> APP PERFORMANCE</w:t>
            </w:r>
            <w:r w:rsidRPr="001619AC">
              <w:rPr>
                <w:rFonts w:ascii="Arial Narrow" w:hAnsi="Arial Narrow" w:cs="Arial Narrow"/>
                <w:b/>
              </w:rPr>
              <w:t>]</w:t>
            </w:r>
          </w:p>
        </w:tc>
      </w:tr>
      <w:tr w:rsidR="007B55E7" w:rsidRPr="001619AC" w14:paraId="53255DFF" w14:textId="77777777" w:rsidTr="000F7DFB">
        <w:tc>
          <w:tcPr>
            <w:tcW w:w="13892" w:type="dxa"/>
            <w:shd w:val="clear" w:color="auto" w:fill="F2F2F2" w:themeFill="background1" w:themeFillShade="F2"/>
          </w:tcPr>
          <w:p w14:paraId="7E2100B7" w14:textId="77777777" w:rsidR="007B55E7" w:rsidRPr="001619AC" w:rsidRDefault="007B55E7" w:rsidP="00ED369C">
            <w:pPr>
              <w:rPr>
                <w:rFonts w:ascii="Arial Narrow" w:hAnsi="Arial Narrow" w:cs="Arial Narrow"/>
                <w:b/>
              </w:rPr>
            </w:pPr>
            <w:r w:rsidRPr="001619AC">
              <w:rPr>
                <w:rFonts w:ascii="Arial Narrow" w:hAnsi="Arial Narrow" w:cs="Arial Narrow"/>
                <w:b/>
              </w:rPr>
              <w:t>Number of APP targets relevant for this Quarter</w:t>
            </w:r>
          </w:p>
        </w:tc>
      </w:tr>
      <w:tr w:rsidR="007B55E7" w:rsidRPr="001619AC" w14:paraId="531EE293" w14:textId="77777777" w:rsidTr="000F7DFB">
        <w:tc>
          <w:tcPr>
            <w:tcW w:w="13892" w:type="dxa"/>
          </w:tcPr>
          <w:p w14:paraId="5B93E0AB" w14:textId="7E933F07" w:rsidR="007B55E7" w:rsidRPr="001619AC" w:rsidRDefault="004D6C92" w:rsidP="00ED369C">
            <w:pPr>
              <w:rPr>
                <w:rFonts w:ascii="Arial Narrow" w:hAnsi="Arial Narrow" w:cs="Arial"/>
                <w:bCs/>
              </w:rPr>
            </w:pPr>
            <w:r>
              <w:rPr>
                <w:rFonts w:ascii="Arial Narrow" w:hAnsi="Arial Narrow" w:cs="Arial"/>
                <w:bCs/>
              </w:rPr>
              <w:t>44</w:t>
            </w:r>
          </w:p>
        </w:tc>
      </w:tr>
      <w:tr w:rsidR="007B55E7" w:rsidRPr="001619AC" w14:paraId="5623DE73" w14:textId="77777777" w:rsidTr="000F7DFB">
        <w:tc>
          <w:tcPr>
            <w:tcW w:w="13892" w:type="dxa"/>
            <w:shd w:val="clear" w:color="auto" w:fill="F2F2F2" w:themeFill="background1" w:themeFillShade="F2"/>
          </w:tcPr>
          <w:p w14:paraId="62E7152A" w14:textId="77777777" w:rsidR="007B55E7" w:rsidRPr="001619AC" w:rsidRDefault="007B55E7" w:rsidP="00ED369C">
            <w:pPr>
              <w:rPr>
                <w:rFonts w:ascii="Arial Narrow" w:hAnsi="Arial Narrow" w:cs="Arial Narrow"/>
                <w:b/>
              </w:rPr>
            </w:pPr>
            <w:r w:rsidRPr="001619AC">
              <w:rPr>
                <w:rFonts w:ascii="Arial Narrow" w:hAnsi="Arial Narrow" w:cs="Arial Narrow"/>
                <w:b/>
              </w:rPr>
              <w:t>Number of APP targets for this Quarter that have been achieved during this Quarter</w:t>
            </w:r>
          </w:p>
        </w:tc>
      </w:tr>
      <w:tr w:rsidR="007B55E7" w:rsidRPr="001619AC" w14:paraId="2A36F9F8" w14:textId="77777777" w:rsidTr="000F7DFB">
        <w:tc>
          <w:tcPr>
            <w:tcW w:w="13892" w:type="dxa"/>
          </w:tcPr>
          <w:p w14:paraId="3919B4B9" w14:textId="0CC69A08" w:rsidR="007B55E7" w:rsidRPr="00687BE6" w:rsidRDefault="00AB5C3E" w:rsidP="009041C3">
            <w:pPr>
              <w:tabs>
                <w:tab w:val="left" w:pos="665"/>
              </w:tabs>
              <w:rPr>
                <w:rFonts w:ascii="Arial Narrow" w:hAnsi="Arial Narrow" w:cs="Arial"/>
                <w:bCs/>
              </w:rPr>
            </w:pPr>
            <w:r w:rsidRPr="00687BE6">
              <w:rPr>
                <w:rFonts w:ascii="Arial Narrow" w:hAnsi="Arial Narrow" w:cs="Arial"/>
                <w:bCs/>
              </w:rPr>
              <w:t>A total</w:t>
            </w:r>
            <w:r w:rsidR="009041C3" w:rsidRPr="00687BE6">
              <w:rPr>
                <w:rFonts w:ascii="Arial Narrow" w:hAnsi="Arial Narrow" w:cs="Arial"/>
                <w:bCs/>
              </w:rPr>
              <w:t xml:space="preserve"> 3</w:t>
            </w:r>
            <w:r>
              <w:rPr>
                <w:rFonts w:ascii="Arial Narrow" w:hAnsi="Arial Narrow" w:cs="Arial"/>
                <w:bCs/>
              </w:rPr>
              <w:t>7</w:t>
            </w:r>
            <w:r w:rsidR="009041C3" w:rsidRPr="00687BE6">
              <w:rPr>
                <w:rFonts w:ascii="Arial Narrow" w:hAnsi="Arial Narrow" w:cs="Arial"/>
                <w:bCs/>
              </w:rPr>
              <w:t xml:space="preserve"> were achieved, </w:t>
            </w:r>
            <w:r w:rsidR="00482F29">
              <w:rPr>
                <w:rFonts w:ascii="Arial Narrow" w:hAnsi="Arial Narrow" w:cs="Arial"/>
                <w:bCs/>
              </w:rPr>
              <w:t xml:space="preserve">and only </w:t>
            </w:r>
            <w:r>
              <w:rPr>
                <w:rFonts w:ascii="Arial Narrow" w:hAnsi="Arial Narrow" w:cs="Arial"/>
                <w:bCs/>
              </w:rPr>
              <w:t>7</w:t>
            </w:r>
            <w:r w:rsidR="00482F29">
              <w:rPr>
                <w:rFonts w:ascii="Arial Narrow" w:hAnsi="Arial Narrow" w:cs="Arial"/>
                <w:bCs/>
              </w:rPr>
              <w:t xml:space="preserve"> </w:t>
            </w:r>
            <w:r w:rsidR="00182CB0">
              <w:rPr>
                <w:rFonts w:ascii="Arial Narrow" w:hAnsi="Arial Narrow" w:cs="Arial"/>
                <w:bCs/>
              </w:rPr>
              <w:t xml:space="preserve">not </w:t>
            </w:r>
            <w:r w:rsidR="00182CB0" w:rsidRPr="00687BE6">
              <w:rPr>
                <w:rFonts w:ascii="Arial Narrow" w:hAnsi="Arial Narrow" w:cs="Arial"/>
                <w:bCs/>
              </w:rPr>
              <w:t>achieved</w:t>
            </w:r>
            <w:r w:rsidR="009041C3" w:rsidRPr="00687BE6">
              <w:rPr>
                <w:rFonts w:ascii="Arial Narrow" w:hAnsi="Arial Narrow" w:cs="Arial"/>
                <w:bCs/>
              </w:rPr>
              <w:t>.</w:t>
            </w:r>
          </w:p>
        </w:tc>
      </w:tr>
      <w:tr w:rsidR="007B55E7" w:rsidRPr="001619AC" w14:paraId="6A0E8308" w14:textId="77777777" w:rsidTr="000F7DFB">
        <w:tc>
          <w:tcPr>
            <w:tcW w:w="13892" w:type="dxa"/>
            <w:shd w:val="clear" w:color="auto" w:fill="F2F2F2" w:themeFill="background1" w:themeFillShade="F2"/>
          </w:tcPr>
          <w:p w14:paraId="1A2073FD" w14:textId="77777777" w:rsidR="007B55E7" w:rsidRPr="00687BE6" w:rsidRDefault="007B55E7" w:rsidP="00ED369C">
            <w:pPr>
              <w:rPr>
                <w:rFonts w:ascii="Arial Narrow" w:hAnsi="Arial Narrow" w:cs="Arial Narrow"/>
                <w:b/>
              </w:rPr>
            </w:pPr>
            <w:r w:rsidRPr="00687BE6">
              <w:rPr>
                <w:rFonts w:ascii="Arial Narrow" w:hAnsi="Arial Narrow" w:cs="Arial Narrow"/>
                <w:b/>
              </w:rPr>
              <w:t>Percentage of APP targets for this Quarter that have been achieved during this Quarter</w:t>
            </w:r>
          </w:p>
        </w:tc>
      </w:tr>
      <w:tr w:rsidR="007B55E7" w:rsidRPr="001619AC" w14:paraId="3E9AA2E3" w14:textId="77777777" w:rsidTr="000F7DFB">
        <w:tc>
          <w:tcPr>
            <w:tcW w:w="13892" w:type="dxa"/>
          </w:tcPr>
          <w:p w14:paraId="49C5A6BE" w14:textId="22EF0FF3" w:rsidR="007B55E7" w:rsidRPr="00687BE6" w:rsidRDefault="009041C3" w:rsidP="00ED369C">
            <w:pPr>
              <w:rPr>
                <w:rFonts w:ascii="Arial Narrow" w:hAnsi="Arial Narrow" w:cs="Arial"/>
                <w:bCs/>
              </w:rPr>
            </w:pPr>
            <w:r w:rsidRPr="00687BE6">
              <w:rPr>
                <w:rFonts w:ascii="Arial Narrow" w:hAnsi="Arial Narrow" w:cs="Arial"/>
                <w:bCs/>
              </w:rPr>
              <w:t xml:space="preserve">By end of quarter </w:t>
            </w:r>
            <w:r w:rsidR="00AB5C3E">
              <w:rPr>
                <w:rFonts w:ascii="Arial Narrow" w:hAnsi="Arial Narrow" w:cs="Arial"/>
                <w:bCs/>
              </w:rPr>
              <w:t>2</w:t>
            </w:r>
            <w:r w:rsidRPr="00687BE6">
              <w:rPr>
                <w:rFonts w:ascii="Arial Narrow" w:hAnsi="Arial Narrow" w:cs="Arial"/>
                <w:bCs/>
              </w:rPr>
              <w:t xml:space="preserve"> overall performance was at </w:t>
            </w:r>
            <w:r w:rsidR="00182CB0">
              <w:rPr>
                <w:rFonts w:ascii="Arial Narrow" w:hAnsi="Arial Narrow" w:cs="Arial"/>
                <w:bCs/>
              </w:rPr>
              <w:t>84</w:t>
            </w:r>
            <w:r w:rsidRPr="00687BE6">
              <w:rPr>
                <w:rFonts w:ascii="Arial Narrow" w:hAnsi="Arial Narrow" w:cs="Arial"/>
                <w:bCs/>
              </w:rPr>
              <w:t xml:space="preserve">% Achieved, </w:t>
            </w:r>
            <w:r w:rsidR="0042507A">
              <w:rPr>
                <w:rFonts w:ascii="Arial Narrow" w:hAnsi="Arial Narrow" w:cs="Arial"/>
                <w:bCs/>
              </w:rPr>
              <w:t>1</w:t>
            </w:r>
            <w:r w:rsidR="00182CB0">
              <w:rPr>
                <w:rFonts w:ascii="Arial Narrow" w:hAnsi="Arial Narrow" w:cs="Arial"/>
                <w:bCs/>
              </w:rPr>
              <w:t>6</w:t>
            </w:r>
            <w:r w:rsidRPr="00687BE6">
              <w:rPr>
                <w:rFonts w:ascii="Arial Narrow" w:hAnsi="Arial Narrow" w:cs="Arial"/>
                <w:bCs/>
              </w:rPr>
              <w:t xml:space="preserve">% </w:t>
            </w:r>
            <w:r w:rsidR="00182CB0">
              <w:rPr>
                <w:rFonts w:ascii="Arial Narrow" w:hAnsi="Arial Narrow" w:cs="Arial"/>
                <w:bCs/>
              </w:rPr>
              <w:t xml:space="preserve">not </w:t>
            </w:r>
            <w:r w:rsidR="00182CB0" w:rsidRPr="00687BE6">
              <w:rPr>
                <w:rFonts w:ascii="Arial Narrow" w:hAnsi="Arial Narrow" w:cs="Arial"/>
                <w:bCs/>
              </w:rPr>
              <w:t>achieved</w:t>
            </w:r>
            <w:r w:rsidRPr="00687BE6">
              <w:rPr>
                <w:rFonts w:ascii="Arial Narrow" w:hAnsi="Arial Narrow" w:cs="Arial"/>
                <w:bCs/>
              </w:rPr>
              <w:t>.</w:t>
            </w:r>
          </w:p>
        </w:tc>
      </w:tr>
      <w:tr w:rsidR="007B55E7" w:rsidRPr="001619AC" w14:paraId="1D502E72" w14:textId="77777777" w:rsidTr="000F7DFB">
        <w:tc>
          <w:tcPr>
            <w:tcW w:w="13892" w:type="dxa"/>
            <w:shd w:val="clear" w:color="auto" w:fill="F2F2F2" w:themeFill="background1" w:themeFillShade="F2"/>
          </w:tcPr>
          <w:p w14:paraId="4D67AC77" w14:textId="77777777" w:rsidR="007B55E7" w:rsidRPr="00687BE6" w:rsidRDefault="007B55E7" w:rsidP="00ED369C">
            <w:pPr>
              <w:rPr>
                <w:rFonts w:ascii="Arial Narrow" w:hAnsi="Arial Narrow" w:cs="Arial Narrow"/>
                <w:b/>
              </w:rPr>
            </w:pPr>
            <w:r w:rsidRPr="00687BE6">
              <w:rPr>
                <w:rFonts w:ascii="Arial Narrow" w:hAnsi="Arial Narrow" w:cs="Arial Narrow"/>
                <w:b/>
              </w:rPr>
              <w:t>Percentage of APP achievement for the previous Quarter (for Comparison)</w:t>
            </w:r>
          </w:p>
        </w:tc>
      </w:tr>
      <w:tr w:rsidR="007B55E7" w:rsidRPr="001619AC" w14:paraId="68614516" w14:textId="77777777" w:rsidTr="000F7DFB">
        <w:tc>
          <w:tcPr>
            <w:tcW w:w="13892" w:type="dxa"/>
          </w:tcPr>
          <w:p w14:paraId="28127D65" w14:textId="1030D564" w:rsidR="007B55E7" w:rsidRPr="00687BE6" w:rsidRDefault="00D93DE8" w:rsidP="00ED369C">
            <w:pPr>
              <w:rPr>
                <w:rFonts w:ascii="Arial Narrow" w:hAnsi="Arial Narrow" w:cs="Arial"/>
                <w:bCs/>
              </w:rPr>
            </w:pPr>
            <w:r>
              <w:rPr>
                <w:rFonts w:ascii="Arial Narrow" w:hAnsi="Arial Narrow" w:cs="Arial"/>
                <w:bCs/>
              </w:rPr>
              <w:t>9</w:t>
            </w:r>
            <w:r w:rsidR="00182CB0">
              <w:rPr>
                <w:rFonts w:ascii="Arial Narrow" w:hAnsi="Arial Narrow" w:cs="Arial"/>
                <w:bCs/>
              </w:rPr>
              <w:t>0</w:t>
            </w:r>
            <w:r w:rsidR="00154819" w:rsidRPr="00687BE6">
              <w:rPr>
                <w:rFonts w:ascii="Arial Narrow" w:hAnsi="Arial Narrow" w:cs="Arial"/>
                <w:bCs/>
              </w:rPr>
              <w:t>%</w:t>
            </w:r>
          </w:p>
        </w:tc>
      </w:tr>
      <w:tr w:rsidR="001619AC" w:rsidRPr="001619AC" w14:paraId="15A19200" w14:textId="77777777" w:rsidTr="004E75A7">
        <w:tc>
          <w:tcPr>
            <w:tcW w:w="13892" w:type="dxa"/>
            <w:shd w:val="clear" w:color="auto" w:fill="D9D9D9" w:themeFill="background1" w:themeFillShade="D9"/>
          </w:tcPr>
          <w:p w14:paraId="76A43C13" w14:textId="77777777" w:rsidR="007B55E7" w:rsidRPr="001619AC" w:rsidRDefault="007B55E7" w:rsidP="00ED369C">
            <w:pPr>
              <w:rPr>
                <w:rFonts w:ascii="Arial Narrow" w:hAnsi="Arial Narrow" w:cs="Arial Narrow"/>
                <w:b/>
              </w:rPr>
            </w:pPr>
            <w:r w:rsidRPr="001619AC">
              <w:rPr>
                <w:rFonts w:ascii="Arial Narrow" w:hAnsi="Arial Narrow" w:cs="Arial Narrow"/>
                <w:b/>
              </w:rPr>
              <w:t>Main areas in the APP that have experienced non-achievement or over achievement during this Quarter</w:t>
            </w:r>
          </w:p>
        </w:tc>
      </w:tr>
      <w:tr w:rsidR="001619AC" w:rsidRPr="001619AC" w14:paraId="06A5A3F5" w14:textId="77777777" w:rsidTr="000F7DFB">
        <w:tc>
          <w:tcPr>
            <w:tcW w:w="13892" w:type="dxa"/>
          </w:tcPr>
          <w:p w14:paraId="646AFB32" w14:textId="6D9A18AA" w:rsidR="0084415C" w:rsidRPr="0084415C" w:rsidRDefault="0084415C" w:rsidP="0084415C">
            <w:pPr>
              <w:rPr>
                <w:rFonts w:ascii="Arial Narrow" w:hAnsi="Arial Narrow" w:cs="Arial"/>
                <w:b/>
                <w:lang w:val="en-US"/>
              </w:rPr>
            </w:pPr>
            <w:r w:rsidRPr="0084415C">
              <w:rPr>
                <w:rFonts w:ascii="Arial Narrow" w:hAnsi="Arial Narrow" w:cs="Arial"/>
                <w:b/>
                <w:lang w:val="en-US"/>
              </w:rPr>
              <w:t xml:space="preserve">The Committee noted </w:t>
            </w:r>
            <w:r w:rsidR="00AA0BD5">
              <w:rPr>
                <w:rFonts w:ascii="Arial Narrow" w:hAnsi="Arial Narrow" w:cs="Arial"/>
                <w:b/>
                <w:lang w:val="en-US"/>
              </w:rPr>
              <w:t>the following on performance</w:t>
            </w:r>
            <w:r w:rsidR="00765E47">
              <w:rPr>
                <w:rFonts w:ascii="Arial Narrow" w:hAnsi="Arial Narrow" w:cs="Arial"/>
                <w:b/>
                <w:lang w:val="en-US"/>
              </w:rPr>
              <w:t>:</w:t>
            </w:r>
          </w:p>
          <w:p w14:paraId="20E53BCB" w14:textId="77777777" w:rsidR="00E13ED6" w:rsidRPr="00E13ED6" w:rsidRDefault="00E13ED6" w:rsidP="00E13ED6">
            <w:pPr>
              <w:pStyle w:val="ListParagraph"/>
              <w:rPr>
                <w:rFonts w:ascii="Arial Narrow" w:hAnsi="Arial Narrow" w:cs="Arial"/>
                <w:b/>
              </w:rPr>
            </w:pPr>
          </w:p>
          <w:p w14:paraId="15339857" w14:textId="7D542DEB" w:rsidR="00E13ED6" w:rsidRPr="00765E47" w:rsidRDefault="00E13ED6" w:rsidP="00E13ED6">
            <w:pPr>
              <w:pStyle w:val="ListParagraph"/>
              <w:numPr>
                <w:ilvl w:val="0"/>
                <w:numId w:val="7"/>
              </w:numPr>
              <w:rPr>
                <w:rFonts w:ascii="Arial Narrow" w:hAnsi="Arial Narrow" w:cs="Arial"/>
                <w:bCs/>
              </w:rPr>
            </w:pPr>
            <w:r w:rsidRPr="00765E47">
              <w:rPr>
                <w:rFonts w:ascii="Arial Narrow" w:hAnsi="Arial Narrow" w:cs="Arial"/>
                <w:b/>
              </w:rPr>
              <w:t>Administration</w:t>
            </w:r>
            <w:r w:rsidR="00E603D7">
              <w:rPr>
                <w:rFonts w:ascii="Arial Narrow" w:hAnsi="Arial Narrow" w:cs="Arial"/>
                <w:b/>
              </w:rPr>
              <w:t xml:space="preserve">- </w:t>
            </w:r>
            <w:r w:rsidRPr="00765E47">
              <w:rPr>
                <w:rFonts w:ascii="Arial Narrow" w:hAnsi="Arial Narrow" w:cs="Arial"/>
                <w:bCs/>
              </w:rPr>
              <w:t xml:space="preserve">five (5) targets were planned in the Annual Performance Plan (APP) 2023/24 for Q2. 80% (4) of the planned targets were achieved, and 20% (1) not achieved. </w:t>
            </w:r>
          </w:p>
          <w:p w14:paraId="776800EB" w14:textId="4BC283B9" w:rsidR="00E13ED6" w:rsidRPr="00765E47" w:rsidRDefault="00E13ED6" w:rsidP="00E13ED6">
            <w:pPr>
              <w:pStyle w:val="ListParagraph"/>
              <w:numPr>
                <w:ilvl w:val="0"/>
                <w:numId w:val="7"/>
              </w:numPr>
              <w:rPr>
                <w:rFonts w:ascii="Arial Narrow" w:hAnsi="Arial Narrow" w:cs="Arial"/>
                <w:bCs/>
              </w:rPr>
            </w:pPr>
            <w:r w:rsidRPr="00AF518E">
              <w:rPr>
                <w:rFonts w:ascii="Arial Narrow" w:hAnsi="Arial Narrow" w:cs="Arial"/>
                <w:b/>
              </w:rPr>
              <w:t>Local</w:t>
            </w:r>
            <w:r w:rsidRPr="00E603D7">
              <w:rPr>
                <w:rFonts w:ascii="Arial Narrow" w:hAnsi="Arial Narrow" w:cs="Arial"/>
                <w:b/>
              </w:rPr>
              <w:t xml:space="preserve"> Governance Support</w:t>
            </w:r>
            <w:r w:rsidR="00E603D7">
              <w:rPr>
                <w:rFonts w:ascii="Arial Narrow" w:hAnsi="Arial Narrow" w:cs="Arial"/>
                <w:bCs/>
              </w:rPr>
              <w:t xml:space="preserve">- </w:t>
            </w:r>
            <w:r w:rsidR="00E603D7" w:rsidRPr="00765E47">
              <w:rPr>
                <w:rFonts w:ascii="Arial Narrow" w:hAnsi="Arial Narrow" w:cs="Arial"/>
                <w:bCs/>
              </w:rPr>
              <w:t>twenty</w:t>
            </w:r>
            <w:r w:rsidRPr="00765E47">
              <w:rPr>
                <w:rFonts w:ascii="Arial Narrow" w:hAnsi="Arial Narrow" w:cs="Arial"/>
                <w:bCs/>
              </w:rPr>
              <w:t xml:space="preserve">-four (24) targets were planned in the Annual Performance Plan (APP) 2023/24 for Q2. 83% (20) of the planned targets were achieved, and 7% (4) not achieved. </w:t>
            </w:r>
          </w:p>
          <w:p w14:paraId="6BF823DD" w14:textId="7AE5CDFA" w:rsidR="00E13ED6" w:rsidRPr="00765E47" w:rsidRDefault="00E13ED6" w:rsidP="00E13ED6">
            <w:pPr>
              <w:pStyle w:val="ListParagraph"/>
              <w:numPr>
                <w:ilvl w:val="0"/>
                <w:numId w:val="7"/>
              </w:numPr>
              <w:rPr>
                <w:rFonts w:ascii="Arial Narrow" w:hAnsi="Arial Narrow" w:cs="Arial"/>
                <w:bCs/>
              </w:rPr>
            </w:pPr>
            <w:r w:rsidRPr="00E603D7">
              <w:rPr>
                <w:rFonts w:ascii="Arial Narrow" w:hAnsi="Arial Narrow" w:cs="Arial"/>
                <w:b/>
              </w:rPr>
              <w:t>Development and Planning</w:t>
            </w:r>
            <w:r w:rsidR="00E603D7">
              <w:rPr>
                <w:rFonts w:ascii="Arial Narrow" w:hAnsi="Arial Narrow" w:cs="Arial"/>
                <w:bCs/>
              </w:rPr>
              <w:t xml:space="preserve"> - </w:t>
            </w:r>
            <w:r w:rsidRPr="00765E47">
              <w:rPr>
                <w:rFonts w:ascii="Arial Narrow" w:hAnsi="Arial Narrow" w:cs="Arial"/>
                <w:bCs/>
              </w:rPr>
              <w:t xml:space="preserve">twelve (12) targets were planned in the Annual Performance Plan (APP) 2023/24 for Q2. 92% (11) of the planned targets were achieved, and 8% (1) not achieved. </w:t>
            </w:r>
          </w:p>
          <w:p w14:paraId="2984D617" w14:textId="58CFAD24" w:rsidR="00E13ED6" w:rsidRPr="00E13ED6" w:rsidRDefault="004F7EB0" w:rsidP="00E13ED6">
            <w:pPr>
              <w:pStyle w:val="ListParagraph"/>
              <w:numPr>
                <w:ilvl w:val="0"/>
                <w:numId w:val="7"/>
              </w:numPr>
              <w:rPr>
                <w:rFonts w:ascii="Arial Narrow" w:hAnsi="Arial Narrow" w:cs="Arial"/>
                <w:b/>
              </w:rPr>
            </w:pPr>
            <w:r>
              <w:rPr>
                <w:rFonts w:ascii="Arial Narrow" w:hAnsi="Arial Narrow" w:cs="Arial"/>
                <w:b/>
              </w:rPr>
              <w:t xml:space="preserve">Traditional Management – </w:t>
            </w:r>
            <w:r>
              <w:rPr>
                <w:rFonts w:ascii="Arial Narrow" w:hAnsi="Arial Narrow" w:cs="Arial"/>
                <w:bCs/>
              </w:rPr>
              <w:t>three (3)</w:t>
            </w:r>
            <w:r w:rsidR="009B43CE">
              <w:rPr>
                <w:rFonts w:ascii="Arial Narrow" w:hAnsi="Arial Narrow" w:cs="Arial"/>
                <w:bCs/>
              </w:rPr>
              <w:t xml:space="preserve"> targets were planned in the </w:t>
            </w:r>
            <w:r w:rsidR="00B80CCA" w:rsidRPr="00B80CCA">
              <w:rPr>
                <w:rFonts w:ascii="Arial Narrow" w:hAnsi="Arial Narrow" w:cs="Arial"/>
                <w:bCs/>
              </w:rPr>
              <w:t>Annual Performance Plan (APP) 2023/24 for Q2</w:t>
            </w:r>
            <w:r w:rsidR="00B80CCA">
              <w:rPr>
                <w:rFonts w:ascii="Arial Narrow" w:hAnsi="Arial Narrow" w:cs="Arial"/>
                <w:bCs/>
              </w:rPr>
              <w:t>. All planned targets were achieved.</w:t>
            </w:r>
          </w:p>
          <w:p w14:paraId="726ACF75" w14:textId="48312856" w:rsidR="007E2707" w:rsidRPr="001619AC" w:rsidRDefault="007E2707" w:rsidP="00B80CCA">
            <w:pPr>
              <w:pStyle w:val="ListParagraph"/>
              <w:rPr>
                <w:rFonts w:ascii="Arial Narrow" w:hAnsi="Arial Narrow" w:cs="Arial"/>
                <w:b/>
              </w:rPr>
            </w:pPr>
          </w:p>
        </w:tc>
      </w:tr>
      <w:tr w:rsidR="001619AC" w:rsidRPr="001619AC" w14:paraId="71692F63" w14:textId="77777777" w:rsidTr="004E75A7">
        <w:tc>
          <w:tcPr>
            <w:tcW w:w="13892" w:type="dxa"/>
            <w:shd w:val="clear" w:color="auto" w:fill="D9D9D9" w:themeFill="background1" w:themeFillShade="D9"/>
          </w:tcPr>
          <w:p w14:paraId="1B8FA993" w14:textId="6452F23E" w:rsidR="007B55E7" w:rsidRPr="001619AC" w:rsidRDefault="007B55E7" w:rsidP="000F7DFB">
            <w:pPr>
              <w:rPr>
                <w:rFonts w:ascii="Arial Narrow" w:hAnsi="Arial Narrow" w:cs="Arial Narrow"/>
                <w:b/>
              </w:rPr>
            </w:pPr>
            <w:r w:rsidRPr="001619AC">
              <w:rPr>
                <w:rFonts w:ascii="Arial Narrow" w:hAnsi="Arial Narrow" w:cs="Arial Narrow"/>
                <w:b/>
              </w:rPr>
              <w:t xml:space="preserve">Main reasons provided by the </w:t>
            </w:r>
            <w:r w:rsidR="00D74068" w:rsidRPr="001619AC">
              <w:rPr>
                <w:rFonts w:ascii="Arial Narrow" w:hAnsi="Arial Narrow" w:cs="Arial Narrow"/>
                <w:b/>
              </w:rPr>
              <w:t>Department / Entity</w:t>
            </w:r>
            <w:r w:rsidRPr="001619AC">
              <w:rPr>
                <w:rFonts w:ascii="Arial Narrow" w:hAnsi="Arial Narrow" w:cs="Arial Narrow"/>
                <w:b/>
              </w:rPr>
              <w:t xml:space="preserve"> for non-achievement or over achievement of its APP during this Quarter</w:t>
            </w:r>
          </w:p>
        </w:tc>
      </w:tr>
      <w:tr w:rsidR="001619AC" w:rsidRPr="001619AC" w14:paraId="56B650FA" w14:textId="77777777" w:rsidTr="000F7DFB">
        <w:tc>
          <w:tcPr>
            <w:tcW w:w="13892" w:type="dxa"/>
          </w:tcPr>
          <w:p w14:paraId="76708F86" w14:textId="6535AEEC" w:rsidR="00F5743B" w:rsidRPr="00AF518E" w:rsidRDefault="00B175B9" w:rsidP="00422209">
            <w:pPr>
              <w:pStyle w:val="ListParagraph"/>
              <w:numPr>
                <w:ilvl w:val="0"/>
                <w:numId w:val="9"/>
              </w:numPr>
              <w:spacing w:line="360" w:lineRule="auto"/>
              <w:rPr>
                <w:rFonts w:ascii="Arial Narrow" w:hAnsi="Arial Narrow" w:cs="Arial"/>
                <w:bCs/>
              </w:rPr>
            </w:pPr>
            <w:r w:rsidRPr="00AF518E">
              <w:rPr>
                <w:rFonts w:ascii="Arial Narrow" w:hAnsi="Arial Narrow" w:cs="Arial"/>
                <w:bCs/>
              </w:rPr>
              <w:t xml:space="preserve">The </w:t>
            </w:r>
            <w:r w:rsidR="00141B32" w:rsidRPr="00AF518E">
              <w:rPr>
                <w:rFonts w:ascii="Arial Narrow" w:hAnsi="Arial Narrow" w:cs="Arial"/>
                <w:bCs/>
              </w:rPr>
              <w:t>Departments could</w:t>
            </w:r>
            <w:r w:rsidR="0096414A" w:rsidRPr="00AF518E">
              <w:rPr>
                <w:rFonts w:ascii="Arial Narrow" w:hAnsi="Arial Narrow" w:cs="Arial"/>
                <w:bCs/>
              </w:rPr>
              <w:t xml:space="preserve"> </w:t>
            </w:r>
            <w:r w:rsidR="00AF23BE" w:rsidRPr="00AF518E">
              <w:rPr>
                <w:rFonts w:ascii="Arial Narrow" w:hAnsi="Arial Narrow" w:cs="Arial"/>
                <w:bCs/>
              </w:rPr>
              <w:t>not fully</w:t>
            </w:r>
            <w:r w:rsidR="00C62247" w:rsidRPr="00AF518E">
              <w:rPr>
                <w:rFonts w:ascii="Arial Narrow" w:hAnsi="Arial Narrow" w:cs="Arial"/>
                <w:bCs/>
              </w:rPr>
              <w:t xml:space="preserve"> </w:t>
            </w:r>
            <w:r w:rsidR="0096414A" w:rsidRPr="00AF518E">
              <w:rPr>
                <w:rFonts w:ascii="Arial Narrow" w:hAnsi="Arial Narrow" w:cs="Arial"/>
                <w:bCs/>
              </w:rPr>
              <w:t>achieve the app target</w:t>
            </w:r>
            <w:r w:rsidR="00EF5B3E" w:rsidRPr="00AF518E">
              <w:rPr>
                <w:rFonts w:ascii="Arial Narrow" w:hAnsi="Arial Narrow" w:cs="Arial"/>
                <w:bCs/>
              </w:rPr>
              <w:t xml:space="preserve"> to </w:t>
            </w:r>
            <w:r w:rsidR="0027468C" w:rsidRPr="00AF518E">
              <w:rPr>
                <w:rFonts w:ascii="Arial Narrow" w:hAnsi="Arial Narrow" w:cs="Arial"/>
                <w:bCs/>
              </w:rPr>
              <w:t>ensure 100</w:t>
            </w:r>
            <w:r w:rsidR="00C457CF" w:rsidRPr="00AF518E">
              <w:rPr>
                <w:rFonts w:ascii="Arial Narrow" w:hAnsi="Arial Narrow" w:cs="Arial"/>
                <w:bCs/>
              </w:rPr>
              <w:t>% of undisputed invoices paid in 15 days.</w:t>
            </w:r>
            <w:r w:rsidR="00433643" w:rsidRPr="00AF518E">
              <w:rPr>
                <w:rFonts w:ascii="Arial Narrow" w:hAnsi="Arial Narrow" w:cs="Arial"/>
                <w:bCs/>
              </w:rPr>
              <w:t xml:space="preserve"> The reason for deviation was </w:t>
            </w:r>
            <w:r w:rsidR="00CF2ED6" w:rsidRPr="00AF518E">
              <w:rPr>
                <w:rFonts w:ascii="Arial Narrow" w:hAnsi="Arial Narrow" w:cs="Arial"/>
                <w:bCs/>
              </w:rPr>
              <w:t xml:space="preserve">due to </w:t>
            </w:r>
            <w:r w:rsidR="00AF23BE" w:rsidRPr="00AF518E">
              <w:rPr>
                <w:rFonts w:ascii="Arial Narrow" w:hAnsi="Arial Narrow" w:cs="Arial"/>
                <w:bCs/>
              </w:rPr>
              <w:t>th</w:t>
            </w:r>
            <w:r w:rsidR="00CF2ED6" w:rsidRPr="00AF518E">
              <w:rPr>
                <w:rFonts w:ascii="Arial Narrow" w:hAnsi="Arial Narrow" w:cs="Arial"/>
                <w:bCs/>
              </w:rPr>
              <w:t>e</w:t>
            </w:r>
            <w:r w:rsidR="00AF518E">
              <w:rPr>
                <w:rFonts w:ascii="Arial Narrow" w:hAnsi="Arial Narrow" w:cs="Arial"/>
                <w:bCs/>
              </w:rPr>
              <w:t xml:space="preserve"> system down time within SITA were runs are delayed as a result.</w:t>
            </w:r>
          </w:p>
          <w:p w14:paraId="0B03F8BF" w14:textId="0F88B6CF" w:rsidR="00F5743B" w:rsidRPr="00AF518E" w:rsidRDefault="00F5743B" w:rsidP="00F5743B">
            <w:pPr>
              <w:pStyle w:val="Default"/>
              <w:rPr>
                <w:rFonts w:ascii="Arial Narrow" w:hAnsi="Arial Narrow"/>
                <w:sz w:val="20"/>
                <w:szCs w:val="20"/>
              </w:rPr>
            </w:pPr>
          </w:p>
          <w:p w14:paraId="246FEAC2" w14:textId="77777777" w:rsidR="004E17E0" w:rsidRDefault="004E17E0" w:rsidP="004E17E0">
            <w:pPr>
              <w:pStyle w:val="Default"/>
              <w:rPr>
                <w:sz w:val="20"/>
                <w:szCs w:val="20"/>
              </w:rPr>
            </w:pPr>
            <w:r>
              <w:rPr>
                <w:sz w:val="20"/>
                <w:szCs w:val="20"/>
              </w:rPr>
              <w:t xml:space="preserve">2 Powers and functions and the </w:t>
            </w:r>
          </w:p>
          <w:p w14:paraId="486F1086" w14:textId="0937E39F" w:rsidR="00F05673" w:rsidRPr="003F43CE" w:rsidRDefault="000F1C78" w:rsidP="00BD2223">
            <w:pPr>
              <w:pStyle w:val="ListParagraph"/>
              <w:numPr>
                <w:ilvl w:val="0"/>
                <w:numId w:val="9"/>
              </w:numPr>
              <w:spacing w:line="360" w:lineRule="auto"/>
              <w:rPr>
                <w:rFonts w:ascii="Arial Narrow" w:hAnsi="Arial Narrow" w:cs="Arial"/>
                <w:bCs/>
              </w:rPr>
            </w:pPr>
            <w:r>
              <w:rPr>
                <w:rFonts w:ascii="Arial Narrow" w:hAnsi="Arial Narrow" w:cs="Arial"/>
                <w:bCs/>
              </w:rPr>
              <w:t>T</w:t>
            </w:r>
            <w:r w:rsidR="009412CB" w:rsidRPr="009412CB">
              <w:rPr>
                <w:rFonts w:ascii="Arial Narrow" w:hAnsi="Arial Narrow" w:cs="Arial"/>
                <w:bCs/>
              </w:rPr>
              <w:t xml:space="preserve">he metros are currently not being supported due to a financial limitation in the </w:t>
            </w:r>
            <w:r w:rsidR="009412CB" w:rsidRPr="00957963">
              <w:rPr>
                <w:rFonts w:ascii="Arial Narrow" w:hAnsi="Arial Narrow" w:cs="Arial"/>
                <w:bCs/>
              </w:rPr>
              <w:t>contract.</w:t>
            </w:r>
            <w:r w:rsidR="00957963" w:rsidRPr="00957963">
              <w:rPr>
                <w:rFonts w:ascii="Arial Narrow" w:hAnsi="Arial Narrow" w:cs="Arial"/>
                <w:bCs/>
              </w:rPr>
              <w:t xml:space="preserve"> </w:t>
            </w:r>
            <w:r w:rsidR="00F71688" w:rsidRPr="00957963">
              <w:rPr>
                <w:rFonts w:ascii="Arial Narrow" w:hAnsi="Arial Narrow"/>
              </w:rPr>
              <w:t xml:space="preserve">The team was appointed late </w:t>
            </w:r>
            <w:proofErr w:type="gramStart"/>
            <w:r w:rsidR="00510CD9">
              <w:rPr>
                <w:rFonts w:ascii="Arial Narrow" w:hAnsi="Arial Narrow"/>
              </w:rPr>
              <w:t xml:space="preserve">and </w:t>
            </w:r>
            <w:r w:rsidR="00F71688" w:rsidRPr="00957963">
              <w:rPr>
                <w:rFonts w:ascii="Arial Narrow" w:hAnsi="Arial Narrow"/>
              </w:rPr>
              <w:t xml:space="preserve"> this</w:t>
            </w:r>
            <w:proofErr w:type="gramEnd"/>
            <w:r w:rsidR="00F71688" w:rsidRPr="00957963">
              <w:rPr>
                <w:rFonts w:ascii="Arial Narrow" w:hAnsi="Arial Narrow"/>
              </w:rPr>
              <w:t xml:space="preserve"> led to </w:t>
            </w:r>
            <w:r w:rsidR="00F71688" w:rsidRPr="00052596">
              <w:rPr>
                <w:rFonts w:ascii="Arial Narrow" w:hAnsi="Arial Narrow"/>
              </w:rPr>
              <w:t xml:space="preserve">the </w:t>
            </w:r>
            <w:r w:rsidR="00E56429" w:rsidRPr="00052596">
              <w:rPr>
                <w:rFonts w:ascii="Arial Narrow" w:hAnsi="Arial Narrow"/>
              </w:rPr>
              <w:t xml:space="preserve">planning processes being finalized late. </w:t>
            </w:r>
          </w:p>
          <w:p w14:paraId="2C6FD5E6" w14:textId="77777777" w:rsidR="003F43CE" w:rsidRDefault="003F43CE" w:rsidP="00BD2223">
            <w:pPr>
              <w:pStyle w:val="ListParagraph"/>
              <w:numPr>
                <w:ilvl w:val="0"/>
                <w:numId w:val="9"/>
              </w:numPr>
              <w:spacing w:line="360" w:lineRule="auto"/>
              <w:rPr>
                <w:rFonts w:ascii="Arial Narrow" w:hAnsi="Arial Narrow" w:cs="Arial"/>
                <w:bCs/>
              </w:rPr>
            </w:pPr>
            <w:r w:rsidRPr="003F43CE">
              <w:rPr>
                <w:rFonts w:ascii="Arial Narrow" w:hAnsi="Arial Narrow" w:cs="Arial"/>
                <w:bCs/>
              </w:rPr>
              <w:t>Engagement held with Sedibeng District Municipality (SDM) to discuss ethics roll-out and awareness raising and to share templates for policies.</w:t>
            </w:r>
            <w:r w:rsidR="00EF76F8">
              <w:rPr>
                <w:rFonts w:ascii="Arial Narrow" w:hAnsi="Arial Narrow" w:cs="Arial"/>
                <w:bCs/>
              </w:rPr>
              <w:t xml:space="preserve"> The reason for deviation was that </w:t>
            </w:r>
            <w:r w:rsidR="000A45A8">
              <w:rPr>
                <w:rFonts w:ascii="Arial Narrow" w:hAnsi="Arial Narrow" w:cs="Arial"/>
                <w:bCs/>
              </w:rPr>
              <w:t>t</w:t>
            </w:r>
            <w:r w:rsidR="000A45A8" w:rsidRPr="000A45A8">
              <w:rPr>
                <w:rFonts w:ascii="Arial Narrow" w:hAnsi="Arial Narrow" w:cs="Arial"/>
                <w:bCs/>
              </w:rPr>
              <w:t xml:space="preserve">he </w:t>
            </w:r>
            <w:r w:rsidR="000A45A8">
              <w:rPr>
                <w:rFonts w:ascii="Arial Narrow" w:hAnsi="Arial Narrow" w:cs="Arial"/>
                <w:bCs/>
              </w:rPr>
              <w:t>three (</w:t>
            </w:r>
            <w:r w:rsidR="000A45A8" w:rsidRPr="000A45A8">
              <w:rPr>
                <w:rFonts w:ascii="Arial Narrow" w:hAnsi="Arial Narrow" w:cs="Arial"/>
                <w:bCs/>
              </w:rPr>
              <w:t>3</w:t>
            </w:r>
            <w:r w:rsidR="000A45A8">
              <w:rPr>
                <w:rFonts w:ascii="Arial Narrow" w:hAnsi="Arial Narrow" w:cs="Arial"/>
                <w:bCs/>
              </w:rPr>
              <w:t>)</w:t>
            </w:r>
            <w:r w:rsidR="000A45A8" w:rsidRPr="000A45A8">
              <w:rPr>
                <w:rFonts w:ascii="Arial Narrow" w:hAnsi="Arial Narrow" w:cs="Arial"/>
                <w:bCs/>
              </w:rPr>
              <w:t xml:space="preserve"> local municipalities were not available to meet due to competing priorities, but policies are in place as per the performance report.</w:t>
            </w:r>
          </w:p>
          <w:p w14:paraId="6B4BD1A3" w14:textId="6CA0A480" w:rsidR="00150F93" w:rsidRPr="00BD2223" w:rsidRDefault="00B717E7" w:rsidP="00BD2223">
            <w:pPr>
              <w:pStyle w:val="ListParagraph"/>
              <w:numPr>
                <w:ilvl w:val="0"/>
                <w:numId w:val="9"/>
              </w:numPr>
              <w:spacing w:line="360" w:lineRule="auto"/>
              <w:rPr>
                <w:rFonts w:ascii="Arial Narrow" w:hAnsi="Arial Narrow" w:cs="Arial"/>
                <w:bCs/>
              </w:rPr>
            </w:pPr>
            <w:r w:rsidRPr="00B717E7">
              <w:rPr>
                <w:rFonts w:ascii="Arial Narrow" w:hAnsi="Arial Narrow" w:cs="Arial"/>
                <w:bCs/>
              </w:rPr>
              <w:t>Awareness raising was conducted with City of Johannesburg S79 Committee on ethics and</w:t>
            </w:r>
            <w:r w:rsidR="00F55967">
              <w:t xml:space="preserve"> </w:t>
            </w:r>
            <w:r w:rsidR="00F55967" w:rsidRPr="00F55967">
              <w:rPr>
                <w:rFonts w:ascii="Arial Narrow" w:hAnsi="Arial Narrow" w:cs="Arial"/>
                <w:bCs/>
              </w:rPr>
              <w:t>documents were shared. Engaged SDM was ready to set up ethics awareness for officials.</w:t>
            </w:r>
            <w:r w:rsidR="005F128E">
              <w:rPr>
                <w:rFonts w:ascii="Arial Narrow" w:hAnsi="Arial Narrow" w:cs="Arial"/>
                <w:bCs/>
              </w:rPr>
              <w:t xml:space="preserve"> The reason for deviation was that </w:t>
            </w:r>
            <w:r w:rsidR="005F128E" w:rsidRPr="005F128E">
              <w:rPr>
                <w:rFonts w:ascii="Arial Narrow" w:hAnsi="Arial Narrow" w:cs="Arial"/>
                <w:bCs/>
              </w:rPr>
              <w:t>Local Municipalities (LMs) on awareness raising schedule</w:t>
            </w:r>
            <w:r w:rsidR="00C73A26">
              <w:rPr>
                <w:rFonts w:ascii="Arial Narrow" w:hAnsi="Arial Narrow" w:cs="Arial"/>
                <w:bCs/>
              </w:rPr>
              <w:t xml:space="preserve">, </w:t>
            </w:r>
            <w:r w:rsidR="005F128E" w:rsidRPr="005F128E">
              <w:rPr>
                <w:rFonts w:ascii="Arial Narrow" w:hAnsi="Arial Narrow" w:cs="Arial"/>
                <w:bCs/>
              </w:rPr>
              <w:t>were not available.</w:t>
            </w:r>
          </w:p>
        </w:tc>
      </w:tr>
      <w:tr w:rsidR="007B55E7" w:rsidRPr="001619AC" w14:paraId="51F24B88" w14:textId="77777777" w:rsidTr="004E75A7">
        <w:tc>
          <w:tcPr>
            <w:tcW w:w="13892" w:type="dxa"/>
            <w:shd w:val="clear" w:color="auto" w:fill="D9D9D9" w:themeFill="background1" w:themeFillShade="D9"/>
          </w:tcPr>
          <w:p w14:paraId="2B4D5CEA" w14:textId="77777777" w:rsidR="007B55E7" w:rsidRPr="001619AC" w:rsidRDefault="007B55E7" w:rsidP="000F7DFB">
            <w:pPr>
              <w:rPr>
                <w:rFonts w:ascii="Arial Narrow" w:hAnsi="Arial Narrow" w:cs="Arial Narrow"/>
                <w:b/>
              </w:rPr>
            </w:pPr>
            <w:r w:rsidRPr="001619AC">
              <w:rPr>
                <w:rFonts w:ascii="Arial Narrow" w:hAnsi="Arial Narrow" w:cs="Arial Narrow"/>
                <w:b/>
              </w:rPr>
              <w:t>Measures in place (with timeframes) to correct the deviation in targets for this Quarter and to prevent recurrence of such or similar deviation</w:t>
            </w:r>
          </w:p>
        </w:tc>
      </w:tr>
      <w:tr w:rsidR="007B55E7" w:rsidRPr="001619AC" w14:paraId="14977CC4" w14:textId="77777777" w:rsidTr="000F7DFB">
        <w:tc>
          <w:tcPr>
            <w:tcW w:w="13892" w:type="dxa"/>
          </w:tcPr>
          <w:p w14:paraId="3827B539" w14:textId="77777777" w:rsidR="006C3E18" w:rsidRPr="009412CB" w:rsidRDefault="00282217" w:rsidP="00C93E82">
            <w:pPr>
              <w:pStyle w:val="ListParagraph"/>
              <w:numPr>
                <w:ilvl w:val="0"/>
                <w:numId w:val="10"/>
              </w:numPr>
              <w:rPr>
                <w:rFonts w:ascii="Arial Narrow" w:hAnsi="Arial Narrow" w:cs="Arial"/>
                <w:bCs/>
                <w:lang w:val="en-GB"/>
              </w:rPr>
            </w:pPr>
            <w:r w:rsidRPr="00282217">
              <w:rPr>
                <w:rFonts w:ascii="Arial Narrow" w:eastAsiaTheme="minorHAnsi" w:hAnsi="Arial Narrow" w:cs="Arial"/>
                <w:bCs/>
                <w:lang w:val="en-GB"/>
              </w:rPr>
              <w:t xml:space="preserve">The remedial action is that </w:t>
            </w:r>
            <w:r w:rsidR="006F49DF" w:rsidRPr="006F49DF">
              <w:rPr>
                <w:rFonts w:ascii="Arial Narrow" w:eastAsiaTheme="minorHAnsi" w:hAnsi="Arial Narrow" w:cs="Arial"/>
                <w:bCs/>
                <w:lang w:val="en-GB"/>
              </w:rPr>
              <w:t xml:space="preserve">the </w:t>
            </w:r>
            <w:r w:rsidR="003A6562">
              <w:rPr>
                <w:rFonts w:ascii="Arial Narrow" w:eastAsiaTheme="minorHAnsi" w:hAnsi="Arial Narrow" w:cs="Arial"/>
                <w:bCs/>
                <w:lang w:val="en-GB"/>
              </w:rPr>
              <w:t xml:space="preserve">Department will engage </w:t>
            </w:r>
            <w:r w:rsidR="003A6562" w:rsidRPr="003A6562">
              <w:rPr>
                <w:rFonts w:ascii="Arial Narrow" w:eastAsiaTheme="minorHAnsi" w:hAnsi="Arial Narrow" w:cs="Arial"/>
                <w:bCs/>
                <w:lang w:val="en-GB"/>
              </w:rPr>
              <w:t>with stakeholders to resolve the problem.</w:t>
            </w:r>
          </w:p>
          <w:p w14:paraId="77973689" w14:textId="77777777" w:rsidR="009412CB" w:rsidRDefault="009412CB" w:rsidP="00C93E82">
            <w:pPr>
              <w:pStyle w:val="ListParagraph"/>
              <w:numPr>
                <w:ilvl w:val="0"/>
                <w:numId w:val="10"/>
              </w:numPr>
              <w:rPr>
                <w:rFonts w:ascii="Arial Narrow" w:hAnsi="Arial Narrow" w:cs="Arial"/>
                <w:bCs/>
                <w:lang w:val="en-GB"/>
              </w:rPr>
            </w:pPr>
            <w:r>
              <w:rPr>
                <w:rFonts w:ascii="Arial Narrow" w:hAnsi="Arial Narrow" w:cs="Arial"/>
                <w:bCs/>
                <w:lang w:val="en-GB"/>
              </w:rPr>
              <w:t xml:space="preserve">The remedial action for not supporting 6 Metros with technical skills capacity through multi-disciplinary teams is that </w:t>
            </w:r>
            <w:r w:rsidR="002150EE" w:rsidRPr="002150EE">
              <w:rPr>
                <w:rFonts w:ascii="Arial Narrow" w:hAnsi="Arial Narrow" w:cs="Arial"/>
                <w:bCs/>
                <w:lang w:val="en-GB"/>
              </w:rPr>
              <w:t>The Department is looking at other ways to support the metros that has no financial implications.</w:t>
            </w:r>
          </w:p>
          <w:p w14:paraId="57488808" w14:textId="7423C254" w:rsidR="00C73A26" w:rsidRPr="002266B8" w:rsidRDefault="00C06EA3" w:rsidP="00C93E82">
            <w:pPr>
              <w:pStyle w:val="ListParagraph"/>
              <w:numPr>
                <w:ilvl w:val="0"/>
                <w:numId w:val="10"/>
              </w:numPr>
              <w:rPr>
                <w:rFonts w:ascii="Arial Narrow" w:hAnsi="Arial Narrow" w:cs="Arial"/>
                <w:bCs/>
                <w:lang w:val="en-GB"/>
              </w:rPr>
            </w:pPr>
            <w:r>
              <w:rPr>
                <w:rFonts w:ascii="Arial Narrow" w:hAnsi="Arial Narrow" w:cs="Arial"/>
                <w:bCs/>
                <w:lang w:val="en-GB"/>
              </w:rPr>
              <w:t xml:space="preserve">The remedial action is that </w:t>
            </w:r>
            <w:r w:rsidRPr="00C06EA3">
              <w:rPr>
                <w:rFonts w:ascii="Arial Narrow" w:hAnsi="Arial Narrow" w:cs="Arial"/>
                <w:bCs/>
                <w:lang w:val="en-GB"/>
              </w:rPr>
              <w:t xml:space="preserve">Ethically Aware Supply Initiative (EASI) training </w:t>
            </w:r>
            <w:r>
              <w:rPr>
                <w:rFonts w:ascii="Arial Narrow" w:hAnsi="Arial Narrow" w:cs="Arial"/>
                <w:bCs/>
                <w:lang w:val="en-GB"/>
              </w:rPr>
              <w:t xml:space="preserve">will </w:t>
            </w:r>
            <w:r w:rsidRPr="00C06EA3">
              <w:rPr>
                <w:rFonts w:ascii="Arial Narrow" w:hAnsi="Arial Narrow" w:cs="Arial"/>
                <w:bCs/>
                <w:lang w:val="en-GB"/>
              </w:rPr>
              <w:t>be implemented in the third quarter</w:t>
            </w:r>
            <w:r>
              <w:rPr>
                <w:rFonts w:ascii="Arial Narrow" w:hAnsi="Arial Narrow" w:cs="Arial"/>
                <w:bCs/>
                <w:lang w:val="en-GB"/>
              </w:rPr>
              <w:t>.</w:t>
            </w:r>
          </w:p>
        </w:tc>
      </w:tr>
      <w:tr w:rsidR="007B55E7" w:rsidRPr="001619AC" w14:paraId="3EDF7C24" w14:textId="77777777" w:rsidTr="004E75A7">
        <w:tc>
          <w:tcPr>
            <w:tcW w:w="13892" w:type="dxa"/>
            <w:shd w:val="clear" w:color="auto" w:fill="D9D9D9" w:themeFill="background1" w:themeFillShade="D9"/>
          </w:tcPr>
          <w:p w14:paraId="129A2739" w14:textId="4C618AC8" w:rsidR="007B55E7" w:rsidRPr="00A42651" w:rsidRDefault="007B55E7" w:rsidP="000F7DFB">
            <w:pPr>
              <w:rPr>
                <w:rFonts w:ascii="Arial Narrow" w:hAnsi="Arial Narrow" w:cs="Arial Narrow"/>
                <w:b/>
              </w:rPr>
            </w:pPr>
            <w:r w:rsidRPr="00A42651">
              <w:rPr>
                <w:rFonts w:ascii="Arial Narrow" w:hAnsi="Arial Narrow" w:cs="Arial Narrow"/>
                <w:b/>
              </w:rPr>
              <w:t xml:space="preserve">A summarized analysis on the </w:t>
            </w:r>
            <w:r w:rsidR="00D74068" w:rsidRPr="00A42651">
              <w:rPr>
                <w:rFonts w:ascii="Arial Narrow" w:hAnsi="Arial Narrow" w:cs="Arial Narrow"/>
                <w:b/>
              </w:rPr>
              <w:t>Department / Entity</w:t>
            </w:r>
            <w:r w:rsidRPr="00A42651">
              <w:rPr>
                <w:rFonts w:ascii="Arial Narrow" w:hAnsi="Arial Narrow" w:cs="Arial Narrow"/>
                <w:b/>
              </w:rPr>
              <w:t xml:space="preserve"> performance per Programme for the period under review</w:t>
            </w:r>
          </w:p>
        </w:tc>
      </w:tr>
      <w:tr w:rsidR="001619AC" w:rsidRPr="001619AC" w14:paraId="048D7C1E" w14:textId="77777777" w:rsidTr="000F7DFB">
        <w:tc>
          <w:tcPr>
            <w:tcW w:w="13892" w:type="dxa"/>
          </w:tcPr>
          <w:p w14:paraId="2557E05A" w14:textId="564163D4" w:rsidR="008C7818" w:rsidRPr="00A42651" w:rsidRDefault="008C7818" w:rsidP="0048414F">
            <w:pPr>
              <w:spacing w:after="200" w:line="276" w:lineRule="auto"/>
              <w:contextualSpacing/>
              <w:rPr>
                <w:rFonts w:ascii="Arial Narrow" w:eastAsiaTheme="minorEastAsia" w:hAnsi="Arial Narrow"/>
                <w:b/>
                <w:bCs/>
                <w:lang w:eastAsia="en-ZA"/>
              </w:rPr>
            </w:pPr>
            <w:r w:rsidRPr="00A42651">
              <w:rPr>
                <w:rFonts w:ascii="Arial Narrow" w:eastAsiaTheme="minorEastAsia" w:hAnsi="Arial Narrow"/>
                <w:b/>
                <w:bCs/>
                <w:lang w:eastAsia="en-ZA"/>
              </w:rPr>
              <w:t xml:space="preserve">PROGRAMME 1: ADMINISTRATION </w:t>
            </w:r>
          </w:p>
          <w:p w14:paraId="66CCE6FA" w14:textId="2B5FD9BE" w:rsidR="009100EE" w:rsidRPr="00A42651" w:rsidRDefault="009100EE" w:rsidP="009100EE">
            <w:pPr>
              <w:spacing w:after="200" w:line="276" w:lineRule="auto"/>
              <w:contextualSpacing/>
              <w:rPr>
                <w:rFonts w:ascii="Arial Narrow" w:eastAsiaTheme="minorEastAsia" w:hAnsi="Arial Narrow"/>
                <w:i/>
                <w:lang w:eastAsia="en-ZA"/>
              </w:rPr>
            </w:pPr>
            <w:r w:rsidRPr="00A42651">
              <w:rPr>
                <w:rFonts w:ascii="Arial Narrow" w:eastAsiaTheme="minorEastAsia" w:hAnsi="Arial Narrow"/>
                <w:lang w:eastAsia="en-ZA"/>
              </w:rPr>
              <w:t xml:space="preserve">This programme is critical towards the realisation of </w:t>
            </w:r>
            <w:r w:rsidRPr="00A42651">
              <w:rPr>
                <w:rFonts w:ascii="Arial Narrow" w:eastAsiaTheme="minorEastAsia" w:hAnsi="Arial Narrow"/>
                <w:b/>
                <w:iCs/>
                <w:lang w:eastAsia="en-ZA"/>
              </w:rPr>
              <w:t xml:space="preserve">Outcome 12: Efficient, effective and development oriented public service and an empowered, </w:t>
            </w:r>
            <w:r w:rsidR="00141B32" w:rsidRPr="00A42651">
              <w:rPr>
                <w:rFonts w:ascii="Arial Narrow" w:eastAsiaTheme="minorEastAsia" w:hAnsi="Arial Narrow"/>
                <w:b/>
                <w:iCs/>
                <w:lang w:eastAsia="en-ZA"/>
              </w:rPr>
              <w:t>fair,</w:t>
            </w:r>
            <w:r w:rsidRPr="00A42651">
              <w:rPr>
                <w:rFonts w:ascii="Arial Narrow" w:eastAsiaTheme="minorEastAsia" w:hAnsi="Arial Narrow"/>
                <w:b/>
                <w:iCs/>
                <w:lang w:eastAsia="en-ZA"/>
              </w:rPr>
              <w:t xml:space="preserve"> and inclusive citizenship</w:t>
            </w:r>
            <w:r w:rsidRPr="00A42651">
              <w:rPr>
                <w:rFonts w:ascii="Arial Narrow" w:eastAsiaTheme="minorEastAsia" w:hAnsi="Arial Narrow"/>
                <w:iCs/>
                <w:lang w:eastAsia="en-ZA"/>
              </w:rPr>
              <w:t>.</w:t>
            </w:r>
            <w:r w:rsidRPr="00A42651">
              <w:rPr>
                <w:rFonts w:ascii="Arial Narrow" w:eastAsiaTheme="minorEastAsia" w:hAnsi="Arial Narrow"/>
                <w:i/>
                <w:lang w:eastAsia="en-ZA"/>
              </w:rPr>
              <w:t xml:space="preserve"> </w:t>
            </w:r>
          </w:p>
          <w:p w14:paraId="5DC5EF97" w14:textId="77777777" w:rsidR="009100EE" w:rsidRPr="00A42651" w:rsidRDefault="009100EE" w:rsidP="009100EE">
            <w:pPr>
              <w:spacing w:after="200" w:line="276" w:lineRule="auto"/>
              <w:contextualSpacing/>
              <w:rPr>
                <w:rFonts w:ascii="Arial Narrow" w:eastAsiaTheme="minorEastAsia" w:hAnsi="Arial Narrow"/>
                <w:lang w:eastAsia="en-ZA"/>
              </w:rPr>
            </w:pPr>
          </w:p>
          <w:p w14:paraId="0D856DD8" w14:textId="4CB84B30" w:rsidR="009100EE" w:rsidRPr="00A42651" w:rsidRDefault="009100EE" w:rsidP="009100EE">
            <w:pPr>
              <w:spacing w:after="200" w:line="276" w:lineRule="auto"/>
              <w:contextualSpacing/>
              <w:rPr>
                <w:rFonts w:ascii="Arial Narrow" w:eastAsiaTheme="minorEastAsia" w:hAnsi="Arial Narrow"/>
                <w:lang w:eastAsia="en-ZA"/>
              </w:rPr>
            </w:pPr>
            <w:bookmarkStart w:id="9" w:name="_Hlk72406341"/>
            <w:r w:rsidRPr="00A42651">
              <w:rPr>
                <w:rFonts w:ascii="Arial Narrow" w:eastAsiaTheme="minorEastAsia" w:hAnsi="Arial Narrow"/>
                <w:b/>
                <w:iCs/>
                <w:u w:val="single"/>
                <w:lang w:eastAsia="en-ZA"/>
              </w:rPr>
              <w:t xml:space="preserve">Finance </w:t>
            </w:r>
            <w:r w:rsidR="006F349D" w:rsidRPr="00A42651">
              <w:rPr>
                <w:rFonts w:ascii="Arial Narrow" w:eastAsiaTheme="minorEastAsia" w:hAnsi="Arial Narrow"/>
                <w:b/>
                <w:iCs/>
                <w:u w:val="single"/>
                <w:lang w:eastAsia="en-ZA"/>
              </w:rPr>
              <w:t xml:space="preserve">Management </w:t>
            </w:r>
            <w:r w:rsidRPr="00A42651">
              <w:rPr>
                <w:rFonts w:ascii="Arial Narrow" w:eastAsiaTheme="minorEastAsia" w:hAnsi="Arial Narrow"/>
                <w:b/>
                <w:iCs/>
                <w:u w:val="single"/>
                <w:lang w:eastAsia="en-ZA"/>
              </w:rPr>
              <w:t>sub programme</w:t>
            </w:r>
          </w:p>
          <w:p w14:paraId="60310075" w14:textId="26245206" w:rsidR="003A29B1" w:rsidRPr="003A29B1" w:rsidRDefault="009100EE" w:rsidP="003A29B1">
            <w:pPr>
              <w:spacing w:after="200" w:line="276" w:lineRule="auto"/>
              <w:contextualSpacing/>
              <w:rPr>
                <w:rFonts w:ascii="Arial Narrow" w:eastAsiaTheme="minorEastAsia" w:hAnsi="Arial Narrow"/>
                <w:lang w:eastAsia="en-ZA"/>
              </w:rPr>
            </w:pPr>
            <w:r w:rsidRPr="00A42651">
              <w:rPr>
                <w:rFonts w:ascii="Arial Narrow" w:eastAsiaTheme="minorEastAsia" w:hAnsi="Arial Narrow"/>
                <w:lang w:eastAsia="en-ZA"/>
              </w:rPr>
              <w:t xml:space="preserve">The Department </w:t>
            </w:r>
            <w:bookmarkEnd w:id="9"/>
            <w:r w:rsidR="008B331E" w:rsidRPr="00A42651">
              <w:rPr>
                <w:rFonts w:ascii="Arial Narrow" w:eastAsiaTheme="minorEastAsia" w:hAnsi="Arial Narrow"/>
                <w:lang w:eastAsia="en-ZA"/>
              </w:rPr>
              <w:t xml:space="preserve">reported </w:t>
            </w:r>
            <w:r w:rsidR="003A29B1" w:rsidRPr="003A29B1">
              <w:rPr>
                <w:rFonts w:ascii="Arial Narrow" w:eastAsiaTheme="minorEastAsia" w:hAnsi="Arial Narrow"/>
                <w:lang w:eastAsia="en-ZA"/>
              </w:rPr>
              <w:t xml:space="preserve">that 100% of invoices will be processed (paid) within fifteen (15) days as prescribed by the PFMA. However, the target was not achieved, and the attained percentage is 97%. </w:t>
            </w:r>
          </w:p>
          <w:p w14:paraId="52EB72C0" w14:textId="77777777" w:rsidR="003A29B1" w:rsidRPr="003A29B1" w:rsidRDefault="003A29B1" w:rsidP="003A29B1">
            <w:pPr>
              <w:spacing w:after="200" w:line="276" w:lineRule="auto"/>
              <w:contextualSpacing/>
              <w:rPr>
                <w:rFonts w:ascii="Arial Narrow" w:eastAsiaTheme="minorEastAsia" w:hAnsi="Arial Narrow"/>
                <w:lang w:eastAsia="en-ZA"/>
              </w:rPr>
            </w:pPr>
            <w:r w:rsidRPr="003A29B1">
              <w:rPr>
                <w:rFonts w:ascii="Arial Narrow" w:eastAsiaTheme="minorEastAsia" w:hAnsi="Arial Narrow"/>
                <w:lang w:eastAsia="en-ZA"/>
              </w:rPr>
              <w:t xml:space="preserve"> </w:t>
            </w:r>
          </w:p>
          <w:p w14:paraId="5AC911EE" w14:textId="2D9E1F52" w:rsidR="006F349D" w:rsidRPr="00A42651" w:rsidRDefault="003A29B1" w:rsidP="003A29B1">
            <w:pPr>
              <w:spacing w:after="200" w:line="276" w:lineRule="auto"/>
              <w:contextualSpacing/>
              <w:rPr>
                <w:rFonts w:ascii="Arial Narrow" w:eastAsiaTheme="minorEastAsia" w:hAnsi="Arial Narrow"/>
                <w:lang w:eastAsia="en-ZA"/>
              </w:rPr>
            </w:pPr>
            <w:r w:rsidRPr="003A29B1">
              <w:rPr>
                <w:rFonts w:ascii="Arial Narrow" w:eastAsiaTheme="minorEastAsia" w:hAnsi="Arial Narrow"/>
                <w:lang w:eastAsia="en-ZA"/>
              </w:rPr>
              <w:t>Although payment delays are attributed to system downtime within SITA, the portfolio committee should emphasize the need to explore alternative ways to process payments within the stipulated period.</w:t>
            </w:r>
          </w:p>
          <w:p w14:paraId="3D1D09FD" w14:textId="6B16A462" w:rsidR="00066FB5" w:rsidRPr="00A42651" w:rsidRDefault="00066FB5" w:rsidP="009100EE">
            <w:pPr>
              <w:spacing w:after="200" w:line="276" w:lineRule="auto"/>
              <w:contextualSpacing/>
              <w:rPr>
                <w:rFonts w:ascii="Arial Narrow" w:eastAsiaTheme="minorEastAsia" w:hAnsi="Arial Narrow"/>
                <w:b/>
                <w:bCs/>
                <w:lang w:eastAsia="en-ZA"/>
              </w:rPr>
            </w:pPr>
          </w:p>
          <w:p w14:paraId="11CA8D56" w14:textId="77777777" w:rsidR="00BB7BDB" w:rsidRPr="00A42651" w:rsidRDefault="00BB7BDB" w:rsidP="00BB7BDB">
            <w:pPr>
              <w:tabs>
                <w:tab w:val="center" w:pos="6838"/>
              </w:tabs>
              <w:spacing w:after="200" w:line="276" w:lineRule="auto"/>
              <w:contextualSpacing/>
              <w:rPr>
                <w:rFonts w:ascii="Arial Narrow" w:eastAsiaTheme="minorEastAsia" w:hAnsi="Arial Narrow" w:cs="Arial Narrow"/>
                <w:b/>
                <w:bCs/>
                <w:lang w:val="en-US" w:eastAsia="en-ZA"/>
              </w:rPr>
            </w:pPr>
            <w:bookmarkStart w:id="10" w:name="_Hlk48721396"/>
            <w:r w:rsidRPr="00A42651">
              <w:rPr>
                <w:rFonts w:ascii="Arial Narrow" w:eastAsiaTheme="minorEastAsia" w:hAnsi="Arial Narrow" w:cs="Arial Narrow"/>
                <w:b/>
                <w:bCs/>
                <w:lang w:val="en-US" w:eastAsia="en-ZA"/>
              </w:rPr>
              <w:t xml:space="preserve">PROGRAMME 2: LOCAL GOVERNANCE </w:t>
            </w:r>
            <w:bookmarkEnd w:id="10"/>
          </w:p>
          <w:p w14:paraId="229CE8AC" w14:textId="77777777" w:rsidR="00BB7BDB" w:rsidRDefault="00BB7BDB" w:rsidP="00BB7BDB">
            <w:pPr>
              <w:tabs>
                <w:tab w:val="center" w:pos="6838"/>
              </w:tabs>
              <w:spacing w:after="200" w:line="276" w:lineRule="auto"/>
              <w:contextualSpacing/>
              <w:rPr>
                <w:rFonts w:ascii="Arial Narrow" w:eastAsiaTheme="minorEastAsia" w:hAnsi="Arial Narrow" w:cs="Arial Narrow"/>
                <w:lang w:val="en-US" w:eastAsia="en-ZA"/>
              </w:rPr>
            </w:pPr>
            <w:r w:rsidRPr="00A42651">
              <w:rPr>
                <w:rFonts w:ascii="Arial Narrow" w:eastAsiaTheme="minorEastAsia" w:hAnsi="Arial Narrow" w:cs="Arial Narrow"/>
                <w:lang w:val="en-US" w:eastAsia="en-ZA"/>
              </w:rPr>
              <w:t>This programme strives to consolidate the developmental state to enhance participatory governance and institutional stability, capacity building as well as local government capability to achieve its constitutional mandate. Essentially, the key objective of this programme is to pursue and facilitate viable and sustainable local governance.</w:t>
            </w:r>
          </w:p>
          <w:p w14:paraId="332A800D" w14:textId="77777777" w:rsidR="0030006A" w:rsidRDefault="0030006A" w:rsidP="00BB7BDB">
            <w:pPr>
              <w:tabs>
                <w:tab w:val="center" w:pos="6838"/>
              </w:tabs>
              <w:spacing w:after="200" w:line="276" w:lineRule="auto"/>
              <w:contextualSpacing/>
              <w:rPr>
                <w:rFonts w:ascii="Arial Narrow" w:eastAsiaTheme="minorEastAsia" w:hAnsi="Arial Narrow" w:cs="Arial Narrow"/>
                <w:lang w:val="en-US" w:eastAsia="en-ZA"/>
              </w:rPr>
            </w:pPr>
          </w:p>
          <w:p w14:paraId="7B3F6536" w14:textId="77777777" w:rsidR="0030006A" w:rsidRDefault="0030006A" w:rsidP="0030006A">
            <w:pPr>
              <w:tabs>
                <w:tab w:val="center" w:pos="6838"/>
              </w:tabs>
              <w:spacing w:after="200" w:line="276" w:lineRule="auto"/>
              <w:contextualSpacing/>
              <w:rPr>
                <w:rFonts w:ascii="Arial Narrow" w:eastAsiaTheme="minorEastAsia" w:hAnsi="Arial Narrow" w:cs="Arial Narrow"/>
                <w:b/>
                <w:bCs/>
                <w:lang w:val="en-US" w:eastAsia="en-ZA"/>
              </w:rPr>
            </w:pPr>
            <w:bookmarkStart w:id="11" w:name="_Hlk150759174"/>
          </w:p>
          <w:p w14:paraId="70C7DED1" w14:textId="687C1506" w:rsidR="0030006A" w:rsidRPr="0030006A" w:rsidRDefault="0030006A" w:rsidP="0030006A">
            <w:pPr>
              <w:tabs>
                <w:tab w:val="center" w:pos="6838"/>
              </w:tabs>
              <w:spacing w:after="200" w:line="276" w:lineRule="auto"/>
              <w:contextualSpacing/>
              <w:rPr>
                <w:rFonts w:ascii="Arial Narrow" w:eastAsiaTheme="minorEastAsia" w:hAnsi="Arial Narrow" w:cs="Arial Narrow"/>
                <w:b/>
                <w:bCs/>
                <w:u w:val="single"/>
                <w:lang w:val="en-US" w:eastAsia="en-ZA"/>
              </w:rPr>
            </w:pPr>
            <w:r w:rsidRPr="0030006A">
              <w:rPr>
                <w:rFonts w:ascii="Arial Narrow" w:eastAsiaTheme="minorEastAsia" w:hAnsi="Arial Narrow" w:cs="Arial Narrow"/>
                <w:b/>
                <w:bCs/>
                <w:u w:val="single"/>
                <w:lang w:val="en-US" w:eastAsia="en-ZA"/>
              </w:rPr>
              <w:t xml:space="preserve">Municipal administration sub programme </w:t>
            </w:r>
            <w:bookmarkEnd w:id="11"/>
          </w:p>
          <w:p w14:paraId="3EBBE654" w14:textId="77777777" w:rsidR="0030006A" w:rsidRPr="0030006A" w:rsidRDefault="0030006A" w:rsidP="0030006A">
            <w:pPr>
              <w:tabs>
                <w:tab w:val="center" w:pos="6838"/>
              </w:tabs>
              <w:spacing w:after="200" w:line="276" w:lineRule="auto"/>
              <w:contextualSpacing/>
              <w:rPr>
                <w:rFonts w:ascii="Arial Narrow" w:eastAsiaTheme="minorEastAsia" w:hAnsi="Arial Narrow" w:cs="Arial Narrow"/>
                <w:bCs/>
                <w:lang w:eastAsia="en-ZA"/>
              </w:rPr>
            </w:pPr>
            <w:r w:rsidRPr="0030006A">
              <w:rPr>
                <w:rFonts w:ascii="Arial Narrow" w:eastAsiaTheme="minorEastAsia" w:hAnsi="Arial Narrow" w:cs="Arial Narrow"/>
                <w:i/>
                <w:iCs/>
                <w:lang w:val="en-US" w:eastAsia="en-ZA"/>
              </w:rPr>
              <w:t xml:space="preserve">Considering the political dynamics associated with coalition formations in Gauteng municipalities, this sub programme serves as a crucial component of restoring political and administrative stability. </w:t>
            </w:r>
            <w:r w:rsidRPr="0030006A">
              <w:rPr>
                <w:rFonts w:ascii="Arial Narrow" w:eastAsiaTheme="minorEastAsia" w:hAnsi="Arial Narrow" w:cs="Arial Narrow"/>
                <w:bCs/>
                <w:lang w:eastAsia="en-ZA"/>
              </w:rPr>
              <w:t xml:space="preserve"> </w:t>
            </w:r>
          </w:p>
          <w:p w14:paraId="497FFC68" w14:textId="77777777" w:rsidR="0030006A" w:rsidRPr="0030006A" w:rsidRDefault="0030006A" w:rsidP="0030006A">
            <w:pPr>
              <w:tabs>
                <w:tab w:val="center" w:pos="6838"/>
              </w:tabs>
              <w:spacing w:after="200" w:line="276" w:lineRule="auto"/>
              <w:contextualSpacing/>
              <w:rPr>
                <w:rFonts w:ascii="Arial Narrow" w:eastAsiaTheme="minorEastAsia" w:hAnsi="Arial Narrow" w:cs="Arial Narrow"/>
                <w:bCs/>
                <w:lang w:eastAsia="en-ZA"/>
              </w:rPr>
            </w:pPr>
          </w:p>
          <w:p w14:paraId="4E02FE18" w14:textId="5A9EF81A" w:rsidR="0030006A" w:rsidRPr="0030006A" w:rsidRDefault="0030006A" w:rsidP="0030006A">
            <w:pPr>
              <w:tabs>
                <w:tab w:val="center" w:pos="6838"/>
              </w:tabs>
              <w:spacing w:after="200" w:line="276" w:lineRule="auto"/>
              <w:contextualSpacing/>
              <w:rPr>
                <w:rFonts w:ascii="Arial Narrow" w:eastAsiaTheme="minorEastAsia" w:hAnsi="Arial Narrow" w:cs="Arial Narrow"/>
                <w:bCs/>
                <w:lang w:eastAsia="en-ZA"/>
              </w:rPr>
            </w:pPr>
            <w:r w:rsidRPr="0030006A">
              <w:rPr>
                <w:rFonts w:ascii="Arial Narrow" w:eastAsiaTheme="minorEastAsia" w:hAnsi="Arial Narrow" w:cs="Arial Narrow"/>
                <w:bCs/>
                <w:lang w:eastAsia="en-ZA"/>
              </w:rPr>
              <w:t xml:space="preserve">The Department </w:t>
            </w:r>
            <w:r w:rsidR="008522FD">
              <w:rPr>
                <w:rFonts w:ascii="Arial Narrow" w:eastAsiaTheme="minorEastAsia" w:hAnsi="Arial Narrow" w:cs="Arial Narrow"/>
                <w:bCs/>
                <w:lang w:eastAsia="en-ZA"/>
              </w:rPr>
              <w:t>reported</w:t>
            </w:r>
            <w:r w:rsidRPr="0030006A">
              <w:rPr>
                <w:rFonts w:ascii="Arial Narrow" w:eastAsiaTheme="minorEastAsia" w:hAnsi="Arial Narrow" w:cs="Arial Narrow"/>
                <w:bCs/>
                <w:lang w:eastAsia="en-ZA"/>
              </w:rPr>
              <w:t xml:space="preserve"> that </w:t>
            </w:r>
            <w:r w:rsidRPr="0030006A">
              <w:rPr>
                <w:rFonts w:ascii="Arial Narrow" w:eastAsiaTheme="minorEastAsia" w:hAnsi="Arial Narrow" w:cs="Arial Narrow"/>
                <w:b/>
                <w:lang w:eastAsia="en-ZA"/>
              </w:rPr>
              <w:t>two (2) powers and functions of the single-tier system of government pillars will be implemented in line with the approved plans</w:t>
            </w:r>
            <w:r w:rsidRPr="0030006A">
              <w:rPr>
                <w:rFonts w:ascii="Arial Narrow" w:eastAsiaTheme="minorEastAsia" w:hAnsi="Arial Narrow" w:cs="Arial Narrow"/>
                <w:bCs/>
                <w:lang w:eastAsia="en-ZA"/>
              </w:rPr>
              <w:t xml:space="preserve"> in the quarter under review. This was not achieved due to poor planning that has led to late appointments of the suitable service provider. It is indicated that the pillars will be implemented during the third quarter of the financial year. </w:t>
            </w:r>
          </w:p>
          <w:p w14:paraId="63DAB02A" w14:textId="77777777" w:rsidR="0030006A" w:rsidRPr="0030006A" w:rsidRDefault="0030006A" w:rsidP="0030006A">
            <w:pPr>
              <w:tabs>
                <w:tab w:val="center" w:pos="6838"/>
              </w:tabs>
              <w:spacing w:after="200" w:line="276" w:lineRule="auto"/>
              <w:contextualSpacing/>
              <w:rPr>
                <w:rFonts w:ascii="Arial Narrow" w:eastAsiaTheme="minorEastAsia" w:hAnsi="Arial Narrow" w:cs="Arial Narrow"/>
                <w:b/>
                <w:lang w:eastAsia="en-ZA"/>
              </w:rPr>
            </w:pPr>
          </w:p>
          <w:p w14:paraId="75B3B465" w14:textId="77777777" w:rsidR="0030006A" w:rsidRPr="0030006A" w:rsidRDefault="0030006A" w:rsidP="0030006A">
            <w:pPr>
              <w:tabs>
                <w:tab w:val="center" w:pos="6838"/>
              </w:tabs>
              <w:spacing w:after="200" w:line="276" w:lineRule="auto"/>
              <w:contextualSpacing/>
              <w:rPr>
                <w:rFonts w:ascii="Arial Narrow" w:eastAsiaTheme="minorEastAsia" w:hAnsi="Arial Narrow" w:cs="Arial Narrow"/>
                <w:bCs/>
                <w:lang w:eastAsia="en-ZA"/>
              </w:rPr>
            </w:pPr>
          </w:p>
          <w:p w14:paraId="0A1C77B0" w14:textId="1C090453" w:rsidR="0030006A" w:rsidRDefault="0030006A" w:rsidP="0030006A">
            <w:pPr>
              <w:tabs>
                <w:tab w:val="center" w:pos="6838"/>
              </w:tabs>
              <w:spacing w:after="200" w:line="276" w:lineRule="auto"/>
              <w:contextualSpacing/>
              <w:rPr>
                <w:rFonts w:ascii="Arial Narrow" w:eastAsiaTheme="minorEastAsia" w:hAnsi="Arial Narrow" w:cs="Arial Narrow"/>
                <w:bCs/>
                <w:lang w:eastAsia="en-ZA"/>
              </w:rPr>
            </w:pPr>
            <w:r w:rsidRPr="0030006A">
              <w:rPr>
                <w:rFonts w:ascii="Arial Narrow" w:eastAsiaTheme="minorEastAsia" w:hAnsi="Arial Narrow" w:cs="Arial Narrow"/>
                <w:bCs/>
                <w:lang w:eastAsia="en-ZA"/>
              </w:rPr>
              <w:t xml:space="preserve">The Department </w:t>
            </w:r>
            <w:r w:rsidR="003026FC">
              <w:rPr>
                <w:rFonts w:ascii="Arial Narrow" w:eastAsiaTheme="minorEastAsia" w:hAnsi="Arial Narrow" w:cs="Arial Narrow"/>
                <w:bCs/>
                <w:lang w:eastAsia="en-ZA"/>
              </w:rPr>
              <w:t>also reported</w:t>
            </w:r>
            <w:r w:rsidRPr="0030006A">
              <w:rPr>
                <w:rFonts w:ascii="Arial Narrow" w:eastAsiaTheme="minorEastAsia" w:hAnsi="Arial Narrow" w:cs="Arial Narrow"/>
                <w:bCs/>
                <w:lang w:eastAsia="en-ZA"/>
              </w:rPr>
              <w:t xml:space="preserve"> that the targeted </w:t>
            </w:r>
            <w:r w:rsidRPr="0030006A">
              <w:rPr>
                <w:rFonts w:ascii="Arial Narrow" w:eastAsiaTheme="minorEastAsia" w:hAnsi="Arial Narrow" w:cs="Arial Narrow"/>
                <w:b/>
                <w:lang w:eastAsia="en-ZA"/>
              </w:rPr>
              <w:t>four (4) municipalities were not monitored on the extent to which anti-corruption measures are implemented</w:t>
            </w:r>
            <w:r w:rsidRPr="0030006A">
              <w:rPr>
                <w:rFonts w:ascii="Arial Narrow" w:eastAsiaTheme="minorEastAsia" w:hAnsi="Arial Narrow" w:cs="Arial Narrow"/>
                <w:bCs/>
                <w:lang w:eastAsia="en-ZA"/>
              </w:rPr>
              <w:t xml:space="preserve"> in the third quarter of 2023/24 FY, except for Sedibeng district. </w:t>
            </w:r>
            <w:r w:rsidR="00B708BF">
              <w:rPr>
                <w:rFonts w:ascii="Arial Narrow" w:eastAsiaTheme="minorEastAsia" w:hAnsi="Arial Narrow" w:cs="Arial Narrow"/>
                <w:bCs/>
                <w:lang w:eastAsia="en-ZA"/>
              </w:rPr>
              <w:t>Furthermore, the Department reported</w:t>
            </w:r>
            <w:r w:rsidRPr="0030006A">
              <w:rPr>
                <w:rFonts w:ascii="Arial Narrow" w:eastAsiaTheme="minorEastAsia" w:hAnsi="Arial Narrow" w:cs="Arial Narrow"/>
                <w:bCs/>
                <w:lang w:eastAsia="en-ZA"/>
              </w:rPr>
              <w:t xml:space="preserve"> that the three (3) local municipalities were not available to meet due to competing priorities. </w:t>
            </w:r>
          </w:p>
          <w:p w14:paraId="56D6DDC5" w14:textId="77777777" w:rsidR="00B708BF" w:rsidRDefault="00B708BF" w:rsidP="0030006A">
            <w:pPr>
              <w:tabs>
                <w:tab w:val="center" w:pos="6838"/>
              </w:tabs>
              <w:spacing w:after="200" w:line="276" w:lineRule="auto"/>
              <w:contextualSpacing/>
              <w:rPr>
                <w:rFonts w:ascii="Arial Narrow" w:eastAsiaTheme="minorEastAsia" w:hAnsi="Arial Narrow" w:cs="Arial Narrow"/>
                <w:bCs/>
                <w:lang w:eastAsia="en-ZA"/>
              </w:rPr>
            </w:pPr>
          </w:p>
          <w:p w14:paraId="77A541DF" w14:textId="7CB68AF9" w:rsidR="00B708BF" w:rsidRPr="0030006A" w:rsidRDefault="007061FF" w:rsidP="0030006A">
            <w:pPr>
              <w:tabs>
                <w:tab w:val="center" w:pos="6838"/>
              </w:tabs>
              <w:spacing w:after="200" w:line="276" w:lineRule="auto"/>
              <w:contextualSpacing/>
              <w:rPr>
                <w:rFonts w:ascii="Arial Narrow" w:eastAsiaTheme="minorEastAsia" w:hAnsi="Arial Narrow" w:cs="Arial Narrow"/>
                <w:bCs/>
                <w:lang w:eastAsia="en-ZA"/>
              </w:rPr>
            </w:pPr>
            <w:r w:rsidRPr="007061FF">
              <w:rPr>
                <w:rFonts w:ascii="Arial Narrow" w:eastAsiaTheme="minorEastAsia" w:hAnsi="Arial Narrow" w:cs="Arial Narrow"/>
                <w:bCs/>
                <w:lang w:eastAsia="en-ZA"/>
              </w:rPr>
              <w:t>The Department</w:t>
            </w:r>
            <w:r w:rsidR="001D19CB">
              <w:rPr>
                <w:rFonts w:ascii="Arial Narrow" w:eastAsiaTheme="minorEastAsia" w:hAnsi="Arial Narrow" w:cs="Arial Narrow"/>
                <w:bCs/>
                <w:lang w:eastAsia="en-ZA"/>
              </w:rPr>
              <w:t xml:space="preserve"> </w:t>
            </w:r>
            <w:r w:rsidR="00497D77">
              <w:rPr>
                <w:rFonts w:ascii="Arial Narrow" w:eastAsiaTheme="minorEastAsia" w:hAnsi="Arial Narrow" w:cs="Arial Narrow"/>
                <w:bCs/>
                <w:lang w:eastAsia="en-ZA"/>
              </w:rPr>
              <w:t xml:space="preserve">had </w:t>
            </w:r>
            <w:r w:rsidRPr="007061FF">
              <w:rPr>
                <w:rFonts w:ascii="Arial Narrow" w:eastAsiaTheme="minorEastAsia" w:hAnsi="Arial Narrow" w:cs="Arial Narrow"/>
                <w:bCs/>
                <w:lang w:eastAsia="en-ZA"/>
              </w:rPr>
              <w:t xml:space="preserve">target eleven (11) municipalities on ethics and integrity management (training, awareness raising and workshop). </w:t>
            </w:r>
            <w:r w:rsidR="00126137">
              <w:rPr>
                <w:rFonts w:ascii="Arial Narrow" w:eastAsiaTheme="minorEastAsia" w:hAnsi="Arial Narrow" w:cs="Arial Narrow"/>
                <w:bCs/>
                <w:lang w:eastAsia="en-ZA"/>
              </w:rPr>
              <w:t>However,</w:t>
            </w:r>
            <w:r w:rsidR="00497D77">
              <w:rPr>
                <w:rFonts w:ascii="Arial Narrow" w:eastAsiaTheme="minorEastAsia" w:hAnsi="Arial Narrow" w:cs="Arial Narrow"/>
                <w:bCs/>
                <w:lang w:eastAsia="en-ZA"/>
              </w:rPr>
              <w:t xml:space="preserve"> t</w:t>
            </w:r>
            <w:r w:rsidRPr="007061FF">
              <w:rPr>
                <w:rFonts w:ascii="Arial Narrow" w:eastAsiaTheme="minorEastAsia" w:hAnsi="Arial Narrow" w:cs="Arial Narrow"/>
                <w:bCs/>
                <w:lang w:eastAsia="en-ZA"/>
              </w:rPr>
              <w:t xml:space="preserve">his was not achieved </w:t>
            </w:r>
            <w:r w:rsidR="0094216B">
              <w:rPr>
                <w:rFonts w:ascii="Arial Narrow" w:eastAsiaTheme="minorEastAsia" w:hAnsi="Arial Narrow" w:cs="Arial Narrow"/>
                <w:bCs/>
                <w:lang w:eastAsia="en-ZA"/>
              </w:rPr>
              <w:t xml:space="preserve">and </w:t>
            </w:r>
            <w:r w:rsidRPr="007061FF">
              <w:rPr>
                <w:rFonts w:ascii="Arial Narrow" w:eastAsiaTheme="minorEastAsia" w:hAnsi="Arial Narrow" w:cs="Arial Narrow"/>
                <w:bCs/>
                <w:lang w:eastAsia="en-ZA"/>
              </w:rPr>
              <w:t>only the City of Johannesburg pulled through. The municipalities were not available, and the target was moved to the next quarter of the fiscal year.</w:t>
            </w:r>
          </w:p>
          <w:p w14:paraId="7877F379" w14:textId="77777777" w:rsidR="005760D8" w:rsidRDefault="005760D8" w:rsidP="00BB7BDB">
            <w:pPr>
              <w:tabs>
                <w:tab w:val="center" w:pos="6838"/>
              </w:tabs>
              <w:spacing w:after="200" w:line="276" w:lineRule="auto"/>
              <w:contextualSpacing/>
              <w:rPr>
                <w:rFonts w:ascii="Arial Narrow" w:eastAsiaTheme="minorEastAsia" w:hAnsi="Arial Narrow" w:cs="Arial Narrow"/>
                <w:lang w:val="en-US" w:eastAsia="en-ZA"/>
              </w:rPr>
            </w:pPr>
          </w:p>
          <w:p w14:paraId="1A890470" w14:textId="345B28C8" w:rsidR="00126137" w:rsidRDefault="00126137" w:rsidP="00BB7BDB">
            <w:pPr>
              <w:tabs>
                <w:tab w:val="center" w:pos="6838"/>
              </w:tabs>
              <w:spacing w:after="200" w:line="276" w:lineRule="auto"/>
              <w:contextualSpacing/>
              <w:rPr>
                <w:rFonts w:ascii="Arial Narrow" w:eastAsiaTheme="minorEastAsia" w:hAnsi="Arial Narrow" w:cs="Arial Narrow"/>
                <w:lang w:val="en-US" w:eastAsia="en-ZA"/>
              </w:rPr>
            </w:pPr>
            <w:r w:rsidRPr="00126137">
              <w:rPr>
                <w:rFonts w:ascii="Arial Narrow" w:eastAsiaTheme="minorEastAsia" w:hAnsi="Arial Narrow" w:cs="Arial Narrow"/>
                <w:lang w:val="en-US" w:eastAsia="en-ZA"/>
              </w:rPr>
              <w:t>The Department state</w:t>
            </w:r>
            <w:r>
              <w:rPr>
                <w:rFonts w:ascii="Arial Narrow" w:eastAsiaTheme="minorEastAsia" w:hAnsi="Arial Narrow" w:cs="Arial Narrow"/>
                <w:lang w:val="en-US" w:eastAsia="en-ZA"/>
              </w:rPr>
              <w:t>d</w:t>
            </w:r>
            <w:r w:rsidRPr="00126137">
              <w:rPr>
                <w:rFonts w:ascii="Arial Narrow" w:eastAsiaTheme="minorEastAsia" w:hAnsi="Arial Narrow" w:cs="Arial Narrow"/>
                <w:lang w:val="en-US" w:eastAsia="en-ZA"/>
              </w:rPr>
              <w:t xml:space="preserve"> that eight (8) municipalities have been supported to maintain functional ward committees </w:t>
            </w:r>
            <w:r w:rsidR="000C5B38" w:rsidRPr="00126137">
              <w:rPr>
                <w:rFonts w:ascii="Arial Narrow" w:eastAsiaTheme="minorEastAsia" w:hAnsi="Arial Narrow" w:cs="Arial Narrow"/>
                <w:lang w:val="en-US" w:eastAsia="en-ZA"/>
              </w:rPr>
              <w:t>except for</w:t>
            </w:r>
            <w:r w:rsidRPr="00126137">
              <w:rPr>
                <w:rFonts w:ascii="Arial Narrow" w:eastAsiaTheme="minorEastAsia" w:hAnsi="Arial Narrow" w:cs="Arial Narrow"/>
                <w:lang w:val="en-US" w:eastAsia="en-ZA"/>
              </w:rPr>
              <w:t xml:space="preserve"> the City of Tshwane for the quarter under review. It is cited that the deviation is due to a prolonged public participation that hinder</w:t>
            </w:r>
            <w:r w:rsidR="00681E97">
              <w:rPr>
                <w:rFonts w:ascii="Arial Narrow" w:eastAsiaTheme="minorEastAsia" w:hAnsi="Arial Narrow" w:cs="Arial Narrow"/>
                <w:lang w:val="en-US" w:eastAsia="en-ZA"/>
              </w:rPr>
              <w:t>s</w:t>
            </w:r>
            <w:r w:rsidRPr="00126137">
              <w:rPr>
                <w:rFonts w:ascii="Arial Narrow" w:eastAsiaTheme="minorEastAsia" w:hAnsi="Arial Narrow" w:cs="Arial Narrow"/>
                <w:lang w:val="en-US" w:eastAsia="en-ZA"/>
              </w:rPr>
              <w:t xml:space="preserve"> the establishment of the ward committees. The portfolio committee should note this with concern and keep this item open from the house resolutions.</w:t>
            </w:r>
          </w:p>
          <w:p w14:paraId="7141D00D" w14:textId="77777777" w:rsidR="004B199C" w:rsidRDefault="004B199C" w:rsidP="00BB7BDB">
            <w:pPr>
              <w:tabs>
                <w:tab w:val="center" w:pos="6838"/>
              </w:tabs>
              <w:spacing w:after="200" w:line="276" w:lineRule="auto"/>
              <w:contextualSpacing/>
              <w:rPr>
                <w:rFonts w:ascii="Arial Narrow" w:eastAsiaTheme="minorEastAsia" w:hAnsi="Arial Narrow" w:cs="Arial Narrow"/>
                <w:lang w:val="en-US" w:eastAsia="en-ZA"/>
              </w:rPr>
            </w:pPr>
          </w:p>
          <w:p w14:paraId="402848B4" w14:textId="77777777" w:rsidR="004B199C" w:rsidRPr="004B199C" w:rsidRDefault="004B199C" w:rsidP="004B199C">
            <w:pPr>
              <w:tabs>
                <w:tab w:val="center" w:pos="6838"/>
              </w:tabs>
              <w:spacing w:after="200" w:line="276" w:lineRule="auto"/>
              <w:contextualSpacing/>
              <w:rPr>
                <w:rFonts w:ascii="Arial Narrow" w:eastAsiaTheme="minorEastAsia" w:hAnsi="Arial Narrow" w:cs="Arial Narrow"/>
                <w:b/>
                <w:u w:val="single"/>
                <w:lang w:eastAsia="en-ZA"/>
              </w:rPr>
            </w:pPr>
            <w:r w:rsidRPr="004B199C">
              <w:rPr>
                <w:rFonts w:ascii="Arial Narrow" w:eastAsiaTheme="minorEastAsia" w:hAnsi="Arial Narrow" w:cs="Arial Narrow"/>
                <w:b/>
                <w:u w:val="single"/>
                <w:lang w:eastAsia="en-ZA"/>
              </w:rPr>
              <w:t xml:space="preserve">Capacity development sub programme  </w:t>
            </w:r>
          </w:p>
          <w:p w14:paraId="5B1FABE9" w14:textId="03F3ED9B" w:rsidR="004B199C" w:rsidRPr="00DB13EC" w:rsidRDefault="004B199C" w:rsidP="00BB7BDB">
            <w:pPr>
              <w:tabs>
                <w:tab w:val="center" w:pos="6838"/>
              </w:tabs>
              <w:spacing w:after="200" w:line="276" w:lineRule="auto"/>
              <w:contextualSpacing/>
              <w:rPr>
                <w:rFonts w:ascii="Arial Narrow" w:eastAsiaTheme="minorEastAsia" w:hAnsi="Arial Narrow" w:cs="Arial Narrow"/>
                <w:bCs/>
                <w:lang w:eastAsia="en-ZA"/>
              </w:rPr>
            </w:pPr>
            <w:r w:rsidRPr="004B199C">
              <w:rPr>
                <w:rFonts w:ascii="Arial Narrow" w:eastAsiaTheme="minorEastAsia" w:hAnsi="Arial Narrow" w:cs="Arial Narrow"/>
                <w:bCs/>
                <w:lang w:eastAsia="en-ZA"/>
              </w:rPr>
              <w:t xml:space="preserve">The Department did not place </w:t>
            </w:r>
            <w:r w:rsidRPr="004B199C">
              <w:rPr>
                <w:rFonts w:ascii="Arial Narrow" w:eastAsiaTheme="minorEastAsia" w:hAnsi="Arial Narrow" w:cs="Arial Narrow"/>
                <w:b/>
                <w:lang w:eastAsia="en-ZA"/>
              </w:rPr>
              <w:t>two (2) experts in the municipalities to provide capacity support on labour and legal services.</w:t>
            </w:r>
            <w:r w:rsidRPr="004B199C">
              <w:rPr>
                <w:rFonts w:ascii="Arial Narrow" w:eastAsiaTheme="minorEastAsia" w:hAnsi="Arial Narrow" w:cs="Arial Narrow"/>
                <w:bCs/>
                <w:lang w:eastAsia="en-ZA"/>
              </w:rPr>
              <w:t xml:space="preserve"> </w:t>
            </w:r>
            <w:r w:rsidR="001B0EB2">
              <w:rPr>
                <w:rFonts w:ascii="Arial Narrow" w:eastAsiaTheme="minorEastAsia" w:hAnsi="Arial Narrow" w:cs="Arial Narrow"/>
                <w:bCs/>
                <w:lang w:eastAsia="en-ZA"/>
              </w:rPr>
              <w:t>This was due to</w:t>
            </w:r>
            <w:r w:rsidRPr="004B199C">
              <w:rPr>
                <w:rFonts w:ascii="Arial Narrow" w:eastAsiaTheme="minorEastAsia" w:hAnsi="Arial Narrow" w:cs="Arial Narrow"/>
                <w:bCs/>
                <w:lang w:eastAsia="en-ZA"/>
              </w:rPr>
              <w:t xml:space="preserve"> the service provider </w:t>
            </w:r>
            <w:r w:rsidR="00BA01DD">
              <w:rPr>
                <w:rFonts w:ascii="Arial Narrow" w:eastAsiaTheme="minorEastAsia" w:hAnsi="Arial Narrow" w:cs="Arial Narrow"/>
                <w:bCs/>
                <w:lang w:eastAsia="en-ZA"/>
              </w:rPr>
              <w:t xml:space="preserve">that </w:t>
            </w:r>
            <w:r w:rsidRPr="004B199C">
              <w:rPr>
                <w:rFonts w:ascii="Arial Narrow" w:eastAsiaTheme="minorEastAsia" w:hAnsi="Arial Narrow" w:cs="Arial Narrow"/>
                <w:bCs/>
                <w:lang w:eastAsia="en-ZA"/>
              </w:rPr>
              <w:t>was not appointed on time and further delays were linked to Probity Auditors seeking advice from the Legal Service Unit (LSU) and the Gauteng Provincial Treasury (GPT).</w:t>
            </w:r>
          </w:p>
          <w:p w14:paraId="5AF11FCD" w14:textId="6F5DEAE3" w:rsidR="004C1D4B" w:rsidRPr="00A42651" w:rsidRDefault="004C1D4B" w:rsidP="00BB7BDB">
            <w:pPr>
              <w:tabs>
                <w:tab w:val="center" w:pos="6838"/>
              </w:tabs>
              <w:spacing w:after="200" w:line="276" w:lineRule="auto"/>
              <w:contextualSpacing/>
              <w:rPr>
                <w:rFonts w:ascii="Arial Narrow" w:eastAsiaTheme="minorEastAsia" w:hAnsi="Arial Narrow" w:cs="Arial Narrow"/>
                <w:lang w:eastAsia="en-ZA"/>
              </w:rPr>
            </w:pPr>
          </w:p>
          <w:p w14:paraId="102FAAD7" w14:textId="50F58993" w:rsidR="00937F20" w:rsidRDefault="00937F20" w:rsidP="00937F20">
            <w:pPr>
              <w:tabs>
                <w:tab w:val="center" w:pos="6838"/>
              </w:tabs>
              <w:spacing w:after="200" w:line="276" w:lineRule="auto"/>
              <w:contextualSpacing/>
              <w:rPr>
                <w:rFonts w:ascii="Arial Narrow" w:eastAsiaTheme="minorEastAsia" w:hAnsi="Arial Narrow" w:cs="Arial Narrow"/>
                <w:b/>
                <w:lang w:eastAsia="en-ZA"/>
              </w:rPr>
            </w:pPr>
            <w:bookmarkStart w:id="12" w:name="_Hlk72406839"/>
            <w:r w:rsidRPr="00A42651">
              <w:rPr>
                <w:rFonts w:ascii="Arial Narrow" w:eastAsiaTheme="minorEastAsia" w:hAnsi="Arial Narrow" w:cs="Arial Narrow"/>
                <w:b/>
                <w:lang w:eastAsia="en-ZA"/>
              </w:rPr>
              <w:t xml:space="preserve">PROGRAMME 3: DEVELOPMENT AND PLANNING </w:t>
            </w:r>
          </w:p>
          <w:p w14:paraId="778C4494" w14:textId="77777777" w:rsidR="00B52E1D" w:rsidRPr="00A42651" w:rsidRDefault="00B52E1D" w:rsidP="00937F20">
            <w:pPr>
              <w:tabs>
                <w:tab w:val="center" w:pos="6838"/>
              </w:tabs>
              <w:spacing w:after="200" w:line="276" w:lineRule="auto"/>
              <w:contextualSpacing/>
              <w:rPr>
                <w:rFonts w:ascii="Arial Narrow" w:eastAsiaTheme="minorEastAsia" w:hAnsi="Arial Narrow" w:cs="Arial Narrow"/>
                <w:b/>
                <w:lang w:eastAsia="en-ZA"/>
              </w:rPr>
            </w:pPr>
          </w:p>
          <w:p w14:paraId="4FF451BE" w14:textId="77777777" w:rsidR="00B52E1D" w:rsidRPr="00B52E1D" w:rsidRDefault="00B52E1D" w:rsidP="00B52E1D">
            <w:pPr>
              <w:rPr>
                <w:rFonts w:ascii="Arial Narrow" w:eastAsia="Calibri" w:hAnsi="Arial Narrow" w:cs="Arial"/>
                <w:b/>
                <w:u w:val="single"/>
              </w:rPr>
            </w:pPr>
            <w:r w:rsidRPr="00B52E1D">
              <w:rPr>
                <w:rFonts w:ascii="Arial Narrow" w:eastAsia="Calibri" w:hAnsi="Arial Narrow" w:cs="Arial"/>
                <w:b/>
                <w:u w:val="single"/>
              </w:rPr>
              <w:t>Disaster Management sub programme</w:t>
            </w:r>
          </w:p>
          <w:p w14:paraId="6AF0D5AA" w14:textId="77777777" w:rsidR="00B52E1D" w:rsidRPr="00B52E1D" w:rsidRDefault="00B52E1D" w:rsidP="00B52E1D">
            <w:pPr>
              <w:rPr>
                <w:rFonts w:ascii="Arial Narrow" w:eastAsia="Calibri" w:hAnsi="Arial Narrow" w:cs="Arial"/>
                <w:bCs/>
              </w:rPr>
            </w:pPr>
            <w:r w:rsidRPr="00B52E1D">
              <w:rPr>
                <w:rFonts w:ascii="Arial Narrow" w:eastAsia="Calibri" w:hAnsi="Arial Narrow" w:cs="Arial"/>
                <w:bCs/>
              </w:rPr>
              <w:t xml:space="preserve">The Department reports that </w:t>
            </w:r>
            <w:r w:rsidRPr="00B52E1D">
              <w:rPr>
                <w:rFonts w:ascii="Arial Narrow" w:eastAsia="Calibri" w:hAnsi="Arial Narrow" w:cs="Arial"/>
                <w:b/>
              </w:rPr>
              <w:t xml:space="preserve">it did not complete the provincial stakeholder management and engagement </w:t>
            </w:r>
            <w:r w:rsidRPr="00B52E1D">
              <w:rPr>
                <w:rFonts w:ascii="Arial Narrow" w:eastAsia="Calibri" w:hAnsi="Arial Narrow" w:cs="Arial"/>
                <w:bCs/>
              </w:rPr>
              <w:t xml:space="preserve">during the quarter under review. It is mentioned that the service providers did not declare their business interests. </w:t>
            </w:r>
          </w:p>
          <w:p w14:paraId="76ABA2DE" w14:textId="0D1A879B" w:rsidR="00D63963" w:rsidRPr="006A0218" w:rsidRDefault="00D63963" w:rsidP="00937F20">
            <w:pPr>
              <w:tabs>
                <w:tab w:val="center" w:pos="6838"/>
              </w:tabs>
              <w:spacing w:after="200" w:line="276" w:lineRule="auto"/>
              <w:contextualSpacing/>
              <w:rPr>
                <w:rFonts w:ascii="Arial Narrow" w:eastAsiaTheme="minorEastAsia" w:hAnsi="Arial Narrow" w:cs="Arial Narrow"/>
                <w:b/>
                <w:lang w:eastAsia="en-ZA"/>
              </w:rPr>
            </w:pPr>
          </w:p>
          <w:p w14:paraId="7BBB3B47" w14:textId="0EB56B9A" w:rsidR="003A7F39" w:rsidRPr="003A7F39" w:rsidRDefault="005B11FF" w:rsidP="003A7F39">
            <w:pPr>
              <w:rPr>
                <w:rFonts w:ascii="Arial Narrow" w:eastAsia="Calibri" w:hAnsi="Arial Narrow" w:cs="Arial"/>
                <w:b/>
                <w:bCs/>
                <w:u w:val="single"/>
              </w:rPr>
            </w:pPr>
            <w:bookmarkStart w:id="13" w:name="_Hlk80459368"/>
            <w:bookmarkEnd w:id="12"/>
            <w:r w:rsidRPr="005B11FF">
              <w:rPr>
                <w:rFonts w:ascii="Arial Narrow" w:eastAsia="Calibri" w:hAnsi="Arial Narrow" w:cs="Arial"/>
                <w:bCs/>
              </w:rPr>
              <w:t xml:space="preserve">  </w:t>
            </w:r>
            <w:r w:rsidR="003A7F39" w:rsidRPr="003A7F39">
              <w:rPr>
                <w:rFonts w:ascii="Arial Narrow" w:eastAsia="Calibri" w:hAnsi="Arial Narrow" w:cs="Arial"/>
                <w:b/>
                <w:bCs/>
                <w:u w:val="single"/>
              </w:rPr>
              <w:t>Infrastructure Planning sub-programme.</w:t>
            </w:r>
          </w:p>
          <w:p w14:paraId="58DE0F53" w14:textId="77777777" w:rsidR="003A7F39" w:rsidRDefault="003A7F39" w:rsidP="003A7F39">
            <w:pPr>
              <w:rPr>
                <w:rFonts w:ascii="Arial Narrow" w:eastAsia="Calibri" w:hAnsi="Arial Narrow" w:cs="Arial"/>
                <w:bCs/>
              </w:rPr>
            </w:pPr>
            <w:r w:rsidRPr="003A7F39">
              <w:rPr>
                <w:rFonts w:ascii="Arial Narrow" w:eastAsia="Calibri" w:hAnsi="Arial Narrow" w:cs="Arial"/>
                <w:bCs/>
              </w:rPr>
              <w:t xml:space="preserve">The Department states that </w:t>
            </w:r>
            <w:r w:rsidRPr="003A7F39">
              <w:rPr>
                <w:rFonts w:ascii="Arial Narrow" w:eastAsia="Calibri" w:hAnsi="Arial Narrow" w:cs="Arial"/>
                <w:b/>
                <w:bCs/>
              </w:rPr>
              <w:t xml:space="preserve">five (5) districts have been monitored on the spending of national grants </w:t>
            </w:r>
            <w:r w:rsidRPr="003A7F39">
              <w:rPr>
                <w:rFonts w:ascii="Arial Narrow" w:eastAsia="Calibri" w:hAnsi="Arial Narrow" w:cs="Arial"/>
                <w:bCs/>
              </w:rPr>
              <w:t xml:space="preserve">during the quarter under review. The aggregate CAPEX expenditure is R0, 8 billion (6%), out of a total annual budget of R14, 6 billion. </w:t>
            </w:r>
          </w:p>
          <w:p w14:paraId="178C551E" w14:textId="77777777" w:rsidR="003A7F39" w:rsidRDefault="003A7F39" w:rsidP="003A7F39">
            <w:pPr>
              <w:rPr>
                <w:rFonts w:ascii="Arial Narrow" w:eastAsia="Calibri" w:hAnsi="Arial Narrow" w:cs="Arial"/>
                <w:bCs/>
              </w:rPr>
            </w:pPr>
          </w:p>
          <w:p w14:paraId="2CD1C563" w14:textId="0174E3EB" w:rsidR="005B11FF" w:rsidRPr="007126A3" w:rsidRDefault="00454AFF" w:rsidP="005B11FF">
            <w:pPr>
              <w:rPr>
                <w:rFonts w:ascii="Arial Narrow" w:eastAsia="Calibri" w:hAnsi="Arial Narrow" w:cs="Arial"/>
                <w:b/>
                <w:bCs/>
              </w:rPr>
            </w:pPr>
            <w:r w:rsidRPr="00454AFF">
              <w:rPr>
                <w:rFonts w:ascii="Arial Narrow" w:eastAsia="Calibri" w:hAnsi="Arial Narrow" w:cs="Arial"/>
                <w:bCs/>
              </w:rPr>
              <w:t>Further</w:t>
            </w:r>
            <w:r>
              <w:rPr>
                <w:rFonts w:ascii="Arial Narrow" w:eastAsia="Calibri" w:hAnsi="Arial Narrow" w:cs="Arial"/>
                <w:bCs/>
              </w:rPr>
              <w:t>more</w:t>
            </w:r>
            <w:r w:rsidRPr="00454AFF">
              <w:rPr>
                <w:rFonts w:ascii="Arial Narrow" w:eastAsia="Calibri" w:hAnsi="Arial Narrow" w:cs="Arial"/>
                <w:bCs/>
              </w:rPr>
              <w:t xml:space="preserve">, the Department shares that </w:t>
            </w:r>
            <w:r w:rsidRPr="00454AFF">
              <w:rPr>
                <w:rFonts w:ascii="Arial Narrow" w:eastAsia="Calibri" w:hAnsi="Arial Narrow" w:cs="Arial"/>
                <w:b/>
                <w:bCs/>
              </w:rPr>
              <w:t xml:space="preserve">nine (9) municipalities have been supported to implement water security measures. The portfolio committee should note with concern that the Department has flagged both Emfuleni and Rand west municipalities for having shown the highest losses of 65% and 57% respectively.  </w:t>
            </w:r>
          </w:p>
          <w:bookmarkEnd w:id="13"/>
          <w:p w14:paraId="441F5954" w14:textId="77777777" w:rsidR="000845D6" w:rsidRPr="00A42651" w:rsidRDefault="000845D6" w:rsidP="000845D6">
            <w:pPr>
              <w:tabs>
                <w:tab w:val="center" w:pos="6838"/>
              </w:tabs>
              <w:spacing w:after="200" w:line="276" w:lineRule="auto"/>
              <w:contextualSpacing/>
              <w:rPr>
                <w:rFonts w:ascii="Arial Narrow" w:eastAsiaTheme="minorEastAsia" w:hAnsi="Arial Narrow" w:cs="Arial Narrow"/>
                <w:bCs/>
                <w:lang w:eastAsia="en-ZA"/>
              </w:rPr>
            </w:pPr>
          </w:p>
          <w:p w14:paraId="42404993" w14:textId="45D65708" w:rsidR="00977347" w:rsidRDefault="006E32F0" w:rsidP="005576F8">
            <w:pPr>
              <w:tabs>
                <w:tab w:val="center" w:pos="6838"/>
              </w:tabs>
              <w:spacing w:after="200" w:line="276" w:lineRule="auto"/>
              <w:contextualSpacing/>
              <w:rPr>
                <w:rFonts w:ascii="Arial Narrow" w:eastAsiaTheme="minorEastAsia" w:hAnsi="Arial Narrow" w:cs="Arial Narrow"/>
                <w:b/>
                <w:lang w:eastAsia="en-ZA"/>
              </w:rPr>
            </w:pPr>
            <w:r w:rsidRPr="00A42651">
              <w:rPr>
                <w:rFonts w:ascii="Arial Narrow" w:eastAsiaTheme="minorEastAsia" w:hAnsi="Arial Narrow" w:cs="Arial Narrow"/>
                <w:b/>
                <w:lang w:eastAsia="en-ZA"/>
              </w:rPr>
              <w:t xml:space="preserve">PROGRAMME 4: DEVELOPMENT </w:t>
            </w:r>
            <w:r w:rsidR="002E6038" w:rsidRPr="00A42651">
              <w:rPr>
                <w:rFonts w:ascii="Arial Narrow" w:eastAsiaTheme="minorEastAsia" w:hAnsi="Arial Narrow" w:cs="Arial Narrow"/>
                <w:b/>
                <w:lang w:eastAsia="en-ZA"/>
              </w:rPr>
              <w:t xml:space="preserve">AND </w:t>
            </w:r>
            <w:r w:rsidRPr="00A42651">
              <w:rPr>
                <w:rFonts w:ascii="Arial Narrow" w:eastAsiaTheme="minorEastAsia" w:hAnsi="Arial Narrow" w:cs="Arial Narrow"/>
                <w:b/>
                <w:lang w:eastAsia="en-ZA"/>
              </w:rPr>
              <w:t>PLANNING</w:t>
            </w:r>
          </w:p>
          <w:p w14:paraId="61ED22E9" w14:textId="77777777" w:rsidR="00332A45" w:rsidRDefault="00332A45" w:rsidP="005576F8">
            <w:pPr>
              <w:tabs>
                <w:tab w:val="center" w:pos="6838"/>
              </w:tabs>
              <w:spacing w:after="200" w:line="276" w:lineRule="auto"/>
              <w:contextualSpacing/>
              <w:rPr>
                <w:rFonts w:ascii="Arial Narrow" w:eastAsiaTheme="minorEastAsia" w:hAnsi="Arial Narrow" w:cs="Arial Narrow"/>
                <w:b/>
                <w:lang w:eastAsia="en-ZA"/>
              </w:rPr>
            </w:pPr>
          </w:p>
          <w:p w14:paraId="79C5E768" w14:textId="77777777" w:rsidR="00332A45" w:rsidRPr="00332A45" w:rsidRDefault="00332A45" w:rsidP="00332A45">
            <w:pPr>
              <w:tabs>
                <w:tab w:val="center" w:pos="6838"/>
              </w:tabs>
              <w:spacing w:after="200" w:line="276" w:lineRule="auto"/>
              <w:contextualSpacing/>
              <w:rPr>
                <w:rFonts w:ascii="Arial Narrow" w:eastAsiaTheme="minorEastAsia" w:hAnsi="Arial Narrow" w:cs="Arial Narrow"/>
                <w:lang w:eastAsia="en-ZA"/>
              </w:rPr>
            </w:pPr>
            <w:r w:rsidRPr="00332A45">
              <w:rPr>
                <w:rFonts w:ascii="Arial Narrow" w:eastAsiaTheme="minorEastAsia" w:hAnsi="Arial Narrow" w:cs="Arial Narrow"/>
                <w:lang w:eastAsia="en-ZA"/>
              </w:rPr>
              <w:t xml:space="preserve">The Department reported that there were two (2) targets for the quarter under review. This includes the establishment of the Commission to conduct the hearings with the applicants whilst reviewing the remaining applications.  The Department also initiated one (1) ABDC training with traditional councils, royal families, and community leaders. There was a follow up session held in Hammanskraal, Sebothoma Hall.  </w:t>
            </w:r>
          </w:p>
          <w:p w14:paraId="384B82A2" w14:textId="77777777" w:rsidR="00332A45" w:rsidRPr="00332A45" w:rsidRDefault="00332A45" w:rsidP="00332A45">
            <w:pPr>
              <w:tabs>
                <w:tab w:val="center" w:pos="6838"/>
              </w:tabs>
              <w:spacing w:after="200" w:line="276" w:lineRule="auto"/>
              <w:contextualSpacing/>
              <w:rPr>
                <w:rFonts w:ascii="Arial Narrow" w:eastAsiaTheme="minorEastAsia" w:hAnsi="Arial Narrow" w:cs="Arial Narrow"/>
                <w:lang w:eastAsia="en-ZA"/>
              </w:rPr>
            </w:pPr>
          </w:p>
          <w:p w14:paraId="43DF5273" w14:textId="02DA8826" w:rsidR="00332A45" w:rsidRPr="00332A45" w:rsidRDefault="003206B8" w:rsidP="00332A45">
            <w:pPr>
              <w:tabs>
                <w:tab w:val="center" w:pos="6838"/>
              </w:tabs>
              <w:spacing w:after="200" w:line="276" w:lineRule="auto"/>
              <w:contextualSpacing/>
              <w:rPr>
                <w:rFonts w:ascii="Arial Narrow" w:eastAsiaTheme="minorEastAsia" w:hAnsi="Arial Narrow" w:cs="Arial Narrow"/>
                <w:lang w:eastAsia="en-ZA"/>
              </w:rPr>
            </w:pPr>
            <w:r>
              <w:rPr>
                <w:rFonts w:ascii="Arial Narrow" w:eastAsiaTheme="minorEastAsia" w:hAnsi="Arial Narrow" w:cs="Arial Narrow"/>
                <w:lang w:eastAsia="en-ZA"/>
              </w:rPr>
              <w:t>The Portfolio Committee</w:t>
            </w:r>
            <w:r w:rsidR="00844802">
              <w:rPr>
                <w:rFonts w:ascii="Arial Narrow" w:eastAsiaTheme="minorEastAsia" w:hAnsi="Arial Narrow" w:cs="Arial Narrow"/>
                <w:lang w:eastAsia="en-ZA"/>
              </w:rPr>
              <w:t xml:space="preserve"> draws</w:t>
            </w:r>
            <w:r w:rsidR="00332A45" w:rsidRPr="00332A45">
              <w:rPr>
                <w:rFonts w:ascii="Arial Narrow" w:eastAsiaTheme="minorEastAsia" w:hAnsi="Arial Narrow" w:cs="Arial Narrow"/>
                <w:lang w:eastAsia="en-ZA"/>
              </w:rPr>
              <w:t xml:space="preserve"> inference that although the Department achieved thirty-six (38) of the forty-four (44) non-performance targets, the use of the SOM information level test tool has however exposed </w:t>
            </w:r>
            <w:r w:rsidR="00D25631" w:rsidRPr="00332A45">
              <w:rPr>
                <w:rFonts w:ascii="Arial Narrow" w:eastAsiaTheme="minorEastAsia" w:hAnsi="Arial Narrow" w:cs="Arial Narrow"/>
                <w:lang w:eastAsia="en-ZA"/>
              </w:rPr>
              <w:t>several</w:t>
            </w:r>
            <w:r w:rsidR="00332A45" w:rsidRPr="00332A45">
              <w:rPr>
                <w:rFonts w:ascii="Arial Narrow" w:eastAsiaTheme="minorEastAsia" w:hAnsi="Arial Narrow" w:cs="Arial Narrow"/>
                <w:lang w:eastAsia="en-ZA"/>
              </w:rPr>
              <w:t xml:space="preserve"> policy weaknesses that should be accounted for. This encompasses the Department’s capability to build and support municipal infrastructure, public participation, co-operative governance and so forth. </w:t>
            </w:r>
          </w:p>
          <w:p w14:paraId="1EAA4107" w14:textId="4577C954" w:rsidR="00FD7F10" w:rsidRPr="00A42651" w:rsidRDefault="00FD7F10" w:rsidP="00332A45">
            <w:pPr>
              <w:tabs>
                <w:tab w:val="center" w:pos="6838"/>
              </w:tabs>
              <w:spacing w:after="200" w:line="276" w:lineRule="auto"/>
              <w:contextualSpacing/>
              <w:rPr>
                <w:rFonts w:ascii="Arial Narrow" w:eastAsia="Calibri" w:hAnsi="Arial Narrow" w:cs="Times New Roman"/>
                <w:bCs/>
                <w:lang w:val="en-US"/>
              </w:rPr>
            </w:pPr>
          </w:p>
        </w:tc>
      </w:tr>
      <w:tr w:rsidR="007B55E7" w:rsidRPr="00D74068" w14:paraId="4F71ADD5" w14:textId="77777777" w:rsidTr="004E75A7">
        <w:tc>
          <w:tcPr>
            <w:tcW w:w="13892" w:type="dxa"/>
            <w:shd w:val="clear" w:color="auto" w:fill="D9D9D9" w:themeFill="background1" w:themeFillShade="D9"/>
          </w:tcPr>
          <w:p w14:paraId="40B734CF" w14:textId="48F7DF4A" w:rsidR="007B55E7" w:rsidRPr="0036498B" w:rsidRDefault="007B55E7" w:rsidP="000F7DFB">
            <w:pPr>
              <w:rPr>
                <w:rFonts w:ascii="Arial Narrow" w:hAnsi="Arial Narrow" w:cs="Arial Narrow"/>
                <w:b/>
                <w:color w:val="FF0000"/>
              </w:rPr>
            </w:pPr>
            <w:r w:rsidRPr="008479E0">
              <w:rPr>
                <w:rFonts w:ascii="Arial Narrow" w:hAnsi="Arial Narrow" w:cs="Arial Narrow"/>
                <w:b/>
              </w:rPr>
              <w:t xml:space="preserve">Summarized information on any unplanned / emerging priorities reported on by the </w:t>
            </w:r>
            <w:r w:rsidR="00D74068" w:rsidRPr="008479E0">
              <w:rPr>
                <w:rFonts w:ascii="Arial Narrow" w:hAnsi="Arial Narrow" w:cs="Arial Narrow"/>
                <w:b/>
              </w:rPr>
              <w:t>Department / Entity</w:t>
            </w:r>
            <w:r w:rsidRPr="008479E0">
              <w:rPr>
                <w:rFonts w:ascii="Arial Narrow" w:hAnsi="Arial Narrow" w:cs="Arial Narrow"/>
                <w:b/>
              </w:rPr>
              <w:t xml:space="preserve"> during the period under review</w:t>
            </w:r>
          </w:p>
        </w:tc>
      </w:tr>
      <w:tr w:rsidR="007B55E7" w:rsidRPr="001619AC" w14:paraId="01C402AC" w14:textId="77777777" w:rsidTr="000F7DFB">
        <w:tc>
          <w:tcPr>
            <w:tcW w:w="13892" w:type="dxa"/>
          </w:tcPr>
          <w:p w14:paraId="5726ACE7" w14:textId="1B2A9025" w:rsidR="007B55E7" w:rsidRPr="001619AC" w:rsidRDefault="00220AE6" w:rsidP="000F7DFB">
            <w:pPr>
              <w:rPr>
                <w:rFonts w:ascii="Arial Narrow" w:hAnsi="Arial Narrow" w:cs="Arial"/>
                <w:bCs/>
              </w:rPr>
            </w:pPr>
            <w:r w:rsidRPr="001619AC">
              <w:rPr>
                <w:rFonts w:ascii="Arial Narrow" w:hAnsi="Arial Narrow" w:cs="Arial"/>
                <w:bCs/>
              </w:rPr>
              <w:t>There were none unplanned or emerging priorities reported for the quarter.</w:t>
            </w:r>
          </w:p>
        </w:tc>
      </w:tr>
      <w:tr w:rsidR="007B55E7" w:rsidRPr="001619AC" w14:paraId="441F7A70" w14:textId="77777777" w:rsidTr="004E75A7">
        <w:tc>
          <w:tcPr>
            <w:tcW w:w="13892" w:type="dxa"/>
            <w:shd w:val="clear" w:color="auto" w:fill="D9D9D9" w:themeFill="background1" w:themeFillShade="D9"/>
          </w:tcPr>
          <w:p w14:paraId="57A73169" w14:textId="6F742910" w:rsidR="007B55E7" w:rsidRPr="001619AC" w:rsidRDefault="007B55E7" w:rsidP="000F7DFB">
            <w:pPr>
              <w:rPr>
                <w:rFonts w:ascii="Arial Narrow" w:hAnsi="Arial Narrow" w:cs="Arial Narrow"/>
                <w:b/>
              </w:rPr>
            </w:pPr>
            <w:r w:rsidRPr="001619AC">
              <w:rPr>
                <w:rFonts w:ascii="Arial Narrow" w:hAnsi="Arial Narrow" w:cs="Arial Narrow"/>
                <w:b/>
              </w:rPr>
              <w:t xml:space="preserve">Summarized information on how the </w:t>
            </w:r>
            <w:r w:rsidR="00D74068" w:rsidRPr="001619AC">
              <w:rPr>
                <w:rFonts w:ascii="Arial Narrow" w:hAnsi="Arial Narrow" w:cs="Arial Narrow"/>
                <w:b/>
              </w:rPr>
              <w:t xml:space="preserve">Department </w:t>
            </w:r>
            <w:r w:rsidRPr="001619AC">
              <w:rPr>
                <w:rFonts w:ascii="Arial Narrow" w:hAnsi="Arial Narrow" w:cs="Arial Narrow"/>
                <w:b/>
              </w:rPr>
              <w:t>maintains portfolios of evidence to verify its reported performance information</w:t>
            </w:r>
          </w:p>
        </w:tc>
      </w:tr>
      <w:tr w:rsidR="007B55E7" w:rsidRPr="001619AC" w14:paraId="1C1B40CF" w14:textId="77777777" w:rsidTr="000F7DFB">
        <w:tc>
          <w:tcPr>
            <w:tcW w:w="13892" w:type="dxa"/>
          </w:tcPr>
          <w:p w14:paraId="06A8FDBF" w14:textId="7BBF5A41" w:rsidR="00C32E52" w:rsidRPr="00D14712" w:rsidRDefault="00825053" w:rsidP="00D444AE">
            <w:pPr>
              <w:spacing w:line="276" w:lineRule="auto"/>
              <w:rPr>
                <w:rFonts w:ascii="Arial Narrow" w:hAnsi="Arial Narrow" w:cs="Arial"/>
                <w:bCs/>
                <w:iCs/>
                <w:lang w:val="en-US"/>
              </w:rPr>
            </w:pPr>
            <w:r w:rsidRPr="00825053">
              <w:rPr>
                <w:rFonts w:ascii="Arial Narrow" w:hAnsi="Arial Narrow" w:cs="Arial"/>
                <w:bCs/>
                <w:iCs/>
                <w:lang w:val="en-US"/>
              </w:rPr>
              <w:t xml:space="preserve">The </w:t>
            </w:r>
            <w:r w:rsidR="00574E49">
              <w:rPr>
                <w:rFonts w:ascii="Arial Narrow" w:hAnsi="Arial Narrow" w:cs="Arial"/>
                <w:bCs/>
                <w:iCs/>
                <w:lang w:val="en-US"/>
              </w:rPr>
              <w:t xml:space="preserve">Department reported that the </w:t>
            </w:r>
            <w:r w:rsidRPr="00825053">
              <w:rPr>
                <w:rFonts w:ascii="Arial Narrow" w:hAnsi="Arial Narrow" w:cs="Arial"/>
                <w:bCs/>
                <w:iCs/>
                <w:lang w:val="en-US"/>
              </w:rPr>
              <w:t>portfolio of evidence is submitted electronically and stored in folders.</w:t>
            </w:r>
          </w:p>
        </w:tc>
      </w:tr>
    </w:tbl>
    <w:p w14:paraId="5EA7722F" w14:textId="1EE1E688" w:rsidR="00E676AD" w:rsidRPr="001619AC" w:rsidRDefault="002A7022" w:rsidP="002A7022">
      <w:pPr>
        <w:pStyle w:val="Heading1"/>
        <w:shd w:val="clear" w:color="auto" w:fill="D9D9D9" w:themeFill="background1" w:themeFillShade="D9"/>
        <w:rPr>
          <w:rFonts w:ascii="Arial Narrow" w:hAnsi="Arial Narrow"/>
          <w:color w:val="auto"/>
          <w:sz w:val="22"/>
          <w:szCs w:val="22"/>
        </w:rPr>
      </w:pPr>
      <w:bookmarkStart w:id="14" w:name="_Toc50576913"/>
      <w:r w:rsidRPr="001619AC">
        <w:rPr>
          <w:rFonts w:ascii="Arial Narrow" w:hAnsi="Arial Narrow"/>
          <w:color w:val="auto"/>
          <w:sz w:val="22"/>
          <w:szCs w:val="22"/>
        </w:rPr>
        <w:t>3</w:t>
      </w:r>
      <w:r w:rsidR="00AF23BE">
        <w:rPr>
          <w:rFonts w:ascii="Arial Narrow" w:hAnsi="Arial Narrow"/>
          <w:color w:val="auto"/>
          <w:sz w:val="22"/>
          <w:szCs w:val="22"/>
        </w:rPr>
        <w:t>.</w:t>
      </w:r>
      <w:r w:rsidR="00E676AD" w:rsidRPr="001619AC">
        <w:rPr>
          <w:rFonts w:ascii="Arial Narrow" w:hAnsi="Arial Narrow"/>
          <w:color w:val="auto"/>
          <w:sz w:val="22"/>
          <w:szCs w:val="22"/>
        </w:rPr>
        <w:tab/>
      </w:r>
      <w:r w:rsidR="00600AFA" w:rsidRPr="001619AC">
        <w:rPr>
          <w:rFonts w:ascii="Arial Narrow" w:hAnsi="Arial Narrow"/>
          <w:color w:val="auto"/>
          <w:sz w:val="22"/>
          <w:szCs w:val="22"/>
        </w:rPr>
        <w:t xml:space="preserve">OVERSIGHT ON </w:t>
      </w:r>
      <w:r w:rsidR="00D74068" w:rsidRPr="001619AC">
        <w:rPr>
          <w:rFonts w:ascii="Arial Narrow" w:hAnsi="Arial Narrow"/>
          <w:color w:val="auto"/>
          <w:sz w:val="22"/>
          <w:szCs w:val="22"/>
        </w:rPr>
        <w:t>DEPARTMENT / ENTITY</w:t>
      </w:r>
      <w:r w:rsidR="00E676AD" w:rsidRPr="001619AC">
        <w:rPr>
          <w:rFonts w:ascii="Arial Narrow" w:hAnsi="Arial Narrow"/>
          <w:color w:val="auto"/>
          <w:sz w:val="22"/>
          <w:szCs w:val="22"/>
        </w:rPr>
        <w:t xml:space="preserve"> PROJECT MANAGEMENT</w:t>
      </w:r>
      <w:bookmarkEnd w:id="14"/>
    </w:p>
    <w:p w14:paraId="46CFA532" w14:textId="27014FF9" w:rsidR="00E676AD" w:rsidRPr="001619AC" w:rsidRDefault="00E676AD" w:rsidP="008E4FFD">
      <w:pPr>
        <w:spacing w:after="200" w:line="240" w:lineRule="auto"/>
        <w:jc w:val="left"/>
        <w:rPr>
          <w:rFonts w:ascii="Arial Narrow" w:hAnsi="Arial Narrow"/>
        </w:rPr>
      </w:pPr>
    </w:p>
    <w:tbl>
      <w:tblPr>
        <w:tblStyle w:val="TableGrid"/>
        <w:tblW w:w="13750" w:type="dxa"/>
        <w:tblInd w:w="-5" w:type="dxa"/>
        <w:tblLook w:val="04A0" w:firstRow="1" w:lastRow="0" w:firstColumn="1" w:lastColumn="0" w:noHBand="0" w:noVBand="1"/>
      </w:tblPr>
      <w:tblGrid>
        <w:gridCol w:w="13750"/>
      </w:tblGrid>
      <w:tr w:rsidR="00600AFA" w:rsidRPr="00D74068" w14:paraId="62325839" w14:textId="77777777" w:rsidTr="00733E2F">
        <w:trPr>
          <w:tblHeader/>
        </w:trPr>
        <w:tc>
          <w:tcPr>
            <w:tcW w:w="13750" w:type="dxa"/>
            <w:shd w:val="clear" w:color="auto" w:fill="D6E3BC" w:themeFill="accent3" w:themeFillTint="66"/>
          </w:tcPr>
          <w:p w14:paraId="28E13170" w14:textId="3021C471" w:rsidR="00600AFA" w:rsidRPr="00563DB2" w:rsidRDefault="00600AFA" w:rsidP="00C93E82">
            <w:pPr>
              <w:pStyle w:val="ListParagraph"/>
              <w:numPr>
                <w:ilvl w:val="0"/>
                <w:numId w:val="5"/>
              </w:numPr>
              <w:rPr>
                <w:rFonts w:ascii="Arial Narrow" w:hAnsi="Arial Narrow"/>
                <w:b/>
              </w:rPr>
            </w:pPr>
            <w:r w:rsidRPr="00563DB2">
              <w:rPr>
                <w:rFonts w:ascii="Arial Narrow" w:hAnsi="Arial Narrow"/>
                <w:b/>
              </w:rPr>
              <w:t>THE DETAILS ON [</w:t>
            </w:r>
            <w:r w:rsidR="00D74068" w:rsidRPr="00563DB2">
              <w:rPr>
                <w:rFonts w:ascii="Arial Narrow" w:hAnsi="Arial Narrow"/>
                <w:b/>
              </w:rPr>
              <w:t>DEPARTMENT / ENTITY</w:t>
            </w:r>
            <w:r w:rsidRPr="00563DB2">
              <w:rPr>
                <w:rFonts w:ascii="Arial Narrow" w:hAnsi="Arial Narrow"/>
                <w:b/>
              </w:rPr>
              <w:t xml:space="preserve"> PROJECT MANAGEMENT]</w:t>
            </w:r>
          </w:p>
        </w:tc>
      </w:tr>
      <w:tr w:rsidR="00600AFA" w:rsidRPr="001619AC" w14:paraId="3C4B2C65" w14:textId="77777777" w:rsidTr="00733E2F">
        <w:tc>
          <w:tcPr>
            <w:tcW w:w="13750" w:type="dxa"/>
            <w:shd w:val="clear" w:color="auto" w:fill="FFFFFF" w:themeFill="background1"/>
          </w:tcPr>
          <w:p w14:paraId="707B1114" w14:textId="6529600C" w:rsidR="00600AFA" w:rsidRPr="001619AC" w:rsidRDefault="00563DB2" w:rsidP="00F81DCB">
            <w:pPr>
              <w:spacing w:line="276" w:lineRule="auto"/>
              <w:rPr>
                <w:rFonts w:ascii="Arial Narrow" w:hAnsi="Arial Narrow" w:cs="Arial"/>
                <w:bCs/>
              </w:rPr>
            </w:pPr>
            <w:r w:rsidRPr="001619AC">
              <w:rPr>
                <w:rFonts w:ascii="Arial Narrow" w:hAnsi="Arial Narrow" w:cs="Arial"/>
                <w:bCs/>
              </w:rPr>
              <w:t xml:space="preserve">The </w:t>
            </w:r>
            <w:r w:rsidR="00E0484D" w:rsidRPr="001619AC">
              <w:rPr>
                <w:rFonts w:ascii="Arial Narrow" w:hAnsi="Arial Narrow" w:cs="Arial"/>
                <w:bCs/>
              </w:rPr>
              <w:t xml:space="preserve">Department submitted a project for </w:t>
            </w:r>
            <w:r w:rsidR="00D14712">
              <w:rPr>
                <w:rFonts w:ascii="Arial Narrow" w:hAnsi="Arial Narrow" w:cs="Arial"/>
                <w:bCs/>
              </w:rPr>
              <w:t>1</w:t>
            </w:r>
            <w:r w:rsidR="007102D5" w:rsidRPr="00D14712">
              <w:rPr>
                <w:rFonts w:ascii="Arial Narrow" w:hAnsi="Arial Narrow" w:cs="Arial"/>
                <w:bCs/>
                <w:vertAlign w:val="superscript"/>
              </w:rPr>
              <w:t>st</w:t>
            </w:r>
            <w:r w:rsidR="007102D5">
              <w:rPr>
                <w:rFonts w:ascii="Arial Narrow" w:hAnsi="Arial Narrow" w:cs="Arial"/>
                <w:bCs/>
              </w:rPr>
              <w:t xml:space="preserve"> </w:t>
            </w:r>
            <w:r w:rsidR="007102D5" w:rsidRPr="001619AC">
              <w:rPr>
                <w:rFonts w:ascii="Arial Narrow" w:hAnsi="Arial Narrow" w:cs="Arial"/>
                <w:bCs/>
              </w:rPr>
              <w:t>quarter</w:t>
            </w:r>
            <w:r w:rsidR="00E0484D" w:rsidRPr="001619AC">
              <w:rPr>
                <w:rFonts w:ascii="Arial Narrow" w:hAnsi="Arial Narrow" w:cs="Arial"/>
                <w:bCs/>
              </w:rPr>
              <w:t xml:space="preserve"> as per the Business Plan.</w:t>
            </w:r>
          </w:p>
        </w:tc>
      </w:tr>
    </w:tbl>
    <w:p w14:paraId="0800ACC4" w14:textId="401A77BD" w:rsidR="00E676AD" w:rsidRPr="001619AC" w:rsidRDefault="002A7022" w:rsidP="00E676AD">
      <w:pPr>
        <w:pStyle w:val="Heading1"/>
        <w:shd w:val="clear" w:color="auto" w:fill="D9D9D9" w:themeFill="background1" w:themeFillShade="D9"/>
        <w:rPr>
          <w:rFonts w:ascii="Arial Narrow" w:hAnsi="Arial Narrow"/>
          <w:color w:val="auto"/>
          <w:sz w:val="22"/>
          <w:szCs w:val="22"/>
        </w:rPr>
      </w:pPr>
      <w:bookmarkStart w:id="15" w:name="_Toc50576914"/>
      <w:r w:rsidRPr="001619AC">
        <w:rPr>
          <w:rFonts w:ascii="Arial Narrow" w:hAnsi="Arial Narrow"/>
          <w:color w:val="auto"/>
          <w:sz w:val="22"/>
          <w:szCs w:val="22"/>
        </w:rPr>
        <w:t>4</w:t>
      </w:r>
      <w:r w:rsidR="00AF23BE">
        <w:rPr>
          <w:rFonts w:ascii="Arial Narrow" w:hAnsi="Arial Narrow"/>
          <w:color w:val="auto"/>
          <w:sz w:val="22"/>
          <w:szCs w:val="22"/>
        </w:rPr>
        <w:t>.</w:t>
      </w:r>
      <w:r w:rsidR="00E676AD" w:rsidRPr="001619AC">
        <w:rPr>
          <w:rFonts w:ascii="Arial Narrow" w:hAnsi="Arial Narrow"/>
          <w:color w:val="auto"/>
          <w:sz w:val="22"/>
          <w:szCs w:val="22"/>
        </w:rPr>
        <w:tab/>
      </w:r>
      <w:r w:rsidR="00AF23BE" w:rsidRPr="001619AC">
        <w:rPr>
          <w:rFonts w:ascii="Arial Narrow" w:hAnsi="Arial Narrow"/>
          <w:color w:val="auto"/>
          <w:sz w:val="22"/>
          <w:szCs w:val="22"/>
        </w:rPr>
        <w:t>OVERSIGHT</w:t>
      </w:r>
      <w:r w:rsidR="00AF23BE">
        <w:rPr>
          <w:rFonts w:ascii="Arial Narrow" w:hAnsi="Arial Narrow"/>
          <w:color w:val="auto"/>
          <w:sz w:val="22"/>
          <w:szCs w:val="22"/>
        </w:rPr>
        <w:t xml:space="preserve"> </w:t>
      </w:r>
      <w:r w:rsidR="00600AFA" w:rsidRPr="001619AC">
        <w:rPr>
          <w:rFonts w:ascii="Arial Narrow" w:hAnsi="Arial Narrow"/>
          <w:color w:val="auto"/>
          <w:sz w:val="22"/>
          <w:szCs w:val="22"/>
        </w:rPr>
        <w:t xml:space="preserve">ON </w:t>
      </w:r>
      <w:r w:rsidR="00D74068" w:rsidRPr="001619AC">
        <w:rPr>
          <w:rFonts w:ascii="Arial Narrow" w:hAnsi="Arial Narrow"/>
          <w:color w:val="auto"/>
          <w:sz w:val="22"/>
          <w:szCs w:val="22"/>
        </w:rPr>
        <w:t>DEPARTMENT / ENTITY</w:t>
      </w:r>
      <w:r w:rsidR="00E676AD" w:rsidRPr="001619AC">
        <w:rPr>
          <w:rFonts w:ascii="Arial Narrow" w:hAnsi="Arial Narrow"/>
          <w:color w:val="auto"/>
          <w:sz w:val="22"/>
          <w:szCs w:val="22"/>
        </w:rPr>
        <w:t xml:space="preserve"> FINANCIAL PERFORMANCE</w:t>
      </w:r>
      <w:bookmarkEnd w:id="15"/>
    </w:p>
    <w:tbl>
      <w:tblPr>
        <w:tblStyle w:val="TableGrid"/>
        <w:tblW w:w="14034" w:type="dxa"/>
        <w:tblInd w:w="-5" w:type="dxa"/>
        <w:tblLook w:val="04A0" w:firstRow="1" w:lastRow="0" w:firstColumn="1" w:lastColumn="0" w:noHBand="0" w:noVBand="1"/>
      </w:tblPr>
      <w:tblGrid>
        <w:gridCol w:w="14034"/>
      </w:tblGrid>
      <w:tr w:rsidR="00663ABA" w:rsidRPr="001619AC" w14:paraId="147BE7F6" w14:textId="77777777" w:rsidTr="00733E2F">
        <w:trPr>
          <w:tblHeader/>
        </w:trPr>
        <w:tc>
          <w:tcPr>
            <w:tcW w:w="14034" w:type="dxa"/>
            <w:shd w:val="clear" w:color="auto" w:fill="D6E3BC" w:themeFill="accent3" w:themeFillTint="66"/>
          </w:tcPr>
          <w:p w14:paraId="2932949C" w14:textId="7A4D0294" w:rsidR="00663ABA" w:rsidRPr="001619AC" w:rsidRDefault="00663ABA" w:rsidP="002A7022">
            <w:pPr>
              <w:rPr>
                <w:rFonts w:ascii="Arial Narrow" w:hAnsi="Arial Narrow"/>
                <w:b/>
              </w:rPr>
            </w:pPr>
            <w:r w:rsidRPr="001619AC">
              <w:rPr>
                <w:rFonts w:ascii="Arial Narrow" w:hAnsi="Arial Narrow"/>
                <w:b/>
              </w:rPr>
              <w:t>4 THE DETAILS ON DEPARTMENT / ENTITY FINANCIAL PERFORMANCE</w:t>
            </w:r>
          </w:p>
        </w:tc>
      </w:tr>
      <w:tr w:rsidR="00663ABA" w:rsidRPr="001619AC" w14:paraId="400897A4" w14:textId="77777777" w:rsidTr="00733E2F">
        <w:tc>
          <w:tcPr>
            <w:tcW w:w="14034" w:type="dxa"/>
            <w:shd w:val="clear" w:color="auto" w:fill="D9D9D9" w:themeFill="background1" w:themeFillShade="D9"/>
          </w:tcPr>
          <w:p w14:paraId="707E8030" w14:textId="676EEC2A" w:rsidR="00663ABA" w:rsidRPr="001619AC" w:rsidRDefault="00663ABA" w:rsidP="000F7DFB">
            <w:pPr>
              <w:rPr>
                <w:rFonts w:ascii="Arial Narrow" w:hAnsi="Arial Narrow"/>
                <w:b/>
                <w:bCs/>
              </w:rPr>
            </w:pPr>
            <w:r w:rsidRPr="001619AC">
              <w:rPr>
                <w:rFonts w:ascii="Arial Narrow" w:hAnsi="Arial Narrow"/>
                <w:b/>
                <w:bCs/>
              </w:rPr>
              <w:t xml:space="preserve">Actual amount (in Rands) allocated to the </w:t>
            </w:r>
            <w:r w:rsidR="003B0FED" w:rsidRPr="001619AC">
              <w:rPr>
                <w:rFonts w:ascii="Arial Narrow" w:hAnsi="Arial Narrow"/>
                <w:b/>
                <w:bCs/>
              </w:rPr>
              <w:t>Department budget</w:t>
            </w:r>
            <w:r w:rsidRPr="001619AC">
              <w:rPr>
                <w:rFonts w:ascii="Arial Narrow" w:hAnsi="Arial Narrow"/>
                <w:b/>
                <w:bCs/>
              </w:rPr>
              <w:t xml:space="preserve"> for this entire Financial Year </w:t>
            </w:r>
          </w:p>
        </w:tc>
      </w:tr>
      <w:tr w:rsidR="00663ABA" w:rsidRPr="001619AC" w14:paraId="4BB89294" w14:textId="77777777" w:rsidTr="00733E2F">
        <w:tc>
          <w:tcPr>
            <w:tcW w:w="14034" w:type="dxa"/>
          </w:tcPr>
          <w:p w14:paraId="24AE3F21" w14:textId="4754022C" w:rsidR="00663ABA" w:rsidRPr="003B0FED" w:rsidRDefault="003B0FED" w:rsidP="000F7DFB">
            <w:pPr>
              <w:rPr>
                <w:rFonts w:ascii="Arial Narrow" w:hAnsi="Arial Narrow" w:cs="Arial"/>
              </w:rPr>
            </w:pPr>
            <w:r w:rsidRPr="003B0FED">
              <w:rPr>
                <w:rFonts w:ascii="Arial Narrow" w:hAnsi="Arial Narrow" w:cs="Arial"/>
              </w:rPr>
              <w:t>R</w:t>
            </w:r>
            <w:r w:rsidR="006518D8">
              <w:rPr>
                <w:rFonts w:ascii="Arial Narrow" w:hAnsi="Arial Narrow" w:cs="Arial"/>
              </w:rPr>
              <w:t xml:space="preserve"> </w:t>
            </w:r>
            <w:r w:rsidRPr="003B0FED">
              <w:rPr>
                <w:rFonts w:ascii="Arial Narrow" w:hAnsi="Arial Narrow" w:cs="Arial"/>
              </w:rPr>
              <w:t>639</w:t>
            </w:r>
            <w:r w:rsidR="008510B2">
              <w:rPr>
                <w:rFonts w:ascii="Arial Narrow" w:hAnsi="Arial Narrow" w:cs="Arial"/>
              </w:rPr>
              <w:t> </w:t>
            </w:r>
            <w:r w:rsidRPr="003B0FED">
              <w:rPr>
                <w:rFonts w:ascii="Arial Narrow" w:hAnsi="Arial Narrow" w:cs="Arial"/>
              </w:rPr>
              <w:t>686</w:t>
            </w:r>
            <w:r w:rsidR="008510B2">
              <w:rPr>
                <w:rFonts w:ascii="Arial Narrow" w:hAnsi="Arial Narrow" w:cs="Arial"/>
              </w:rPr>
              <w:t xml:space="preserve"> </w:t>
            </w:r>
            <w:r w:rsidR="008E4D90" w:rsidRPr="003B0FED">
              <w:rPr>
                <w:rFonts w:ascii="Arial Narrow" w:hAnsi="Arial Narrow" w:cs="Arial"/>
              </w:rPr>
              <w:t>000. 00</w:t>
            </w:r>
            <w:r w:rsidR="00D46427" w:rsidRPr="003B0FED">
              <w:rPr>
                <w:rFonts w:ascii="Arial Narrow" w:hAnsi="Arial Narrow" w:cs="Arial"/>
              </w:rPr>
              <w:t xml:space="preserve"> </w:t>
            </w:r>
          </w:p>
        </w:tc>
      </w:tr>
      <w:tr w:rsidR="00663ABA" w:rsidRPr="001619AC" w14:paraId="5162648C" w14:textId="77777777" w:rsidTr="00733E2F">
        <w:tc>
          <w:tcPr>
            <w:tcW w:w="14034" w:type="dxa"/>
            <w:shd w:val="clear" w:color="auto" w:fill="D9D9D9" w:themeFill="background1" w:themeFillShade="D9"/>
          </w:tcPr>
          <w:p w14:paraId="02DC1D73" w14:textId="35FBF6CE" w:rsidR="00663ABA" w:rsidRPr="001619AC" w:rsidRDefault="00663ABA" w:rsidP="000F7DFB">
            <w:pPr>
              <w:rPr>
                <w:rFonts w:ascii="Arial Narrow" w:hAnsi="Arial Narrow"/>
                <w:b/>
                <w:bCs/>
                <w:i/>
              </w:rPr>
            </w:pPr>
            <w:r w:rsidRPr="001619AC">
              <w:rPr>
                <w:rFonts w:ascii="Arial Narrow" w:hAnsi="Arial Narrow"/>
                <w:b/>
                <w:bCs/>
              </w:rPr>
              <w:t xml:space="preserve">Actual amount projected by the </w:t>
            </w:r>
            <w:r w:rsidR="003B0FED" w:rsidRPr="001619AC">
              <w:rPr>
                <w:rFonts w:ascii="Arial Narrow" w:hAnsi="Arial Narrow"/>
                <w:b/>
                <w:bCs/>
              </w:rPr>
              <w:t xml:space="preserve">Department </w:t>
            </w:r>
            <w:r w:rsidR="003B0FED">
              <w:rPr>
                <w:rFonts w:ascii="Arial Narrow" w:hAnsi="Arial Narrow"/>
                <w:b/>
                <w:bCs/>
              </w:rPr>
              <w:t>to</w:t>
            </w:r>
            <w:r w:rsidRPr="001619AC">
              <w:rPr>
                <w:rFonts w:ascii="Arial Narrow" w:hAnsi="Arial Narrow"/>
                <w:b/>
                <w:bCs/>
              </w:rPr>
              <w:t xml:space="preserve"> be spent only during the Q under review</w:t>
            </w:r>
          </w:p>
        </w:tc>
      </w:tr>
      <w:tr w:rsidR="00663ABA" w:rsidRPr="001619AC" w14:paraId="221542AB" w14:textId="77777777" w:rsidTr="00733E2F">
        <w:tc>
          <w:tcPr>
            <w:tcW w:w="14034" w:type="dxa"/>
          </w:tcPr>
          <w:p w14:paraId="46B8294D" w14:textId="3569D9DF" w:rsidR="00663ABA" w:rsidRPr="001619AC" w:rsidRDefault="008510B2" w:rsidP="008712F0">
            <w:pPr>
              <w:rPr>
                <w:rFonts w:ascii="Arial Narrow" w:hAnsi="Arial Narrow"/>
              </w:rPr>
            </w:pPr>
            <w:r>
              <w:rPr>
                <w:rFonts w:ascii="Arial Narrow" w:eastAsia="Times New Roman" w:hAnsi="Arial Narrow" w:cs="Calibri"/>
                <w:color w:val="000000"/>
                <w:lang w:eastAsia="en-ZA"/>
              </w:rPr>
              <w:t xml:space="preserve">R </w:t>
            </w:r>
            <w:r w:rsidRPr="001A0FF5">
              <w:rPr>
                <w:rFonts w:ascii="Arial Narrow" w:eastAsia="Times New Roman" w:hAnsi="Arial Narrow" w:cs="Calibri"/>
                <w:color w:val="000000"/>
                <w:lang w:eastAsia="en-ZA"/>
              </w:rPr>
              <w:t>193</w:t>
            </w:r>
            <w:r>
              <w:rPr>
                <w:rFonts w:ascii="Arial Narrow" w:eastAsia="Times New Roman" w:hAnsi="Arial Narrow" w:cs="Calibri"/>
                <w:color w:val="000000"/>
                <w:lang w:eastAsia="en-ZA"/>
              </w:rPr>
              <w:t> </w:t>
            </w:r>
            <w:r w:rsidRPr="001A0FF5">
              <w:rPr>
                <w:rFonts w:ascii="Arial Narrow" w:eastAsia="Times New Roman" w:hAnsi="Arial Narrow" w:cs="Calibri"/>
                <w:color w:val="000000"/>
                <w:lang w:eastAsia="en-ZA"/>
              </w:rPr>
              <w:t>037</w:t>
            </w:r>
            <w:r>
              <w:rPr>
                <w:rFonts w:ascii="Arial Narrow" w:eastAsia="Times New Roman" w:hAnsi="Arial Narrow" w:cs="Calibri"/>
                <w:color w:val="000000"/>
                <w:lang w:eastAsia="en-ZA"/>
              </w:rPr>
              <w:t xml:space="preserve"> 000</w:t>
            </w:r>
            <w:r w:rsidR="00976EFA" w:rsidRPr="00976EFA">
              <w:rPr>
                <w:rFonts w:ascii="Arial Narrow" w:hAnsi="Arial Narrow"/>
              </w:rPr>
              <w:t>. 00</w:t>
            </w:r>
          </w:p>
        </w:tc>
      </w:tr>
      <w:tr w:rsidR="00663ABA" w:rsidRPr="001619AC" w14:paraId="5FEE5D26" w14:textId="77777777" w:rsidTr="00733E2F">
        <w:tc>
          <w:tcPr>
            <w:tcW w:w="14034" w:type="dxa"/>
            <w:shd w:val="clear" w:color="auto" w:fill="D9D9D9" w:themeFill="background1" w:themeFillShade="D9"/>
          </w:tcPr>
          <w:p w14:paraId="24AB6FD7" w14:textId="7727C6C7" w:rsidR="00663ABA" w:rsidRPr="001619AC" w:rsidRDefault="00663ABA" w:rsidP="000F7DFB">
            <w:pPr>
              <w:rPr>
                <w:rFonts w:ascii="Arial Narrow" w:hAnsi="Arial Narrow"/>
                <w:b/>
                <w:bCs/>
                <w:i/>
              </w:rPr>
            </w:pPr>
            <w:r w:rsidRPr="001619AC">
              <w:rPr>
                <w:rFonts w:ascii="Arial Narrow" w:hAnsi="Arial Narrow"/>
                <w:b/>
                <w:bCs/>
              </w:rPr>
              <w:t>Actual amount (in Rands) spent by the Department only during the Q under review</w:t>
            </w:r>
          </w:p>
        </w:tc>
      </w:tr>
      <w:tr w:rsidR="00663ABA" w:rsidRPr="001619AC" w14:paraId="667B7440" w14:textId="77777777" w:rsidTr="00733E2F">
        <w:tc>
          <w:tcPr>
            <w:tcW w:w="14034" w:type="dxa"/>
          </w:tcPr>
          <w:p w14:paraId="56787709" w14:textId="172025BA" w:rsidR="00663ABA" w:rsidRPr="001619AC" w:rsidRDefault="006518D8" w:rsidP="000F7DFB">
            <w:pPr>
              <w:rPr>
                <w:rFonts w:ascii="Arial Narrow" w:hAnsi="Arial Narrow" w:cs="Arial"/>
              </w:rPr>
            </w:pPr>
            <w:r>
              <w:rPr>
                <w:rFonts w:ascii="Arial Narrow" w:eastAsia="Times New Roman" w:hAnsi="Arial Narrow" w:cs="Calibri"/>
                <w:color w:val="000000"/>
                <w:lang w:eastAsia="en-ZA"/>
              </w:rPr>
              <w:t xml:space="preserve">R </w:t>
            </w:r>
            <w:r w:rsidRPr="001A0FF5">
              <w:rPr>
                <w:rFonts w:ascii="Arial Narrow" w:eastAsia="Times New Roman" w:hAnsi="Arial Narrow" w:cs="Calibri"/>
                <w:color w:val="000000"/>
                <w:lang w:eastAsia="en-ZA"/>
              </w:rPr>
              <w:t>160</w:t>
            </w:r>
            <w:r>
              <w:rPr>
                <w:rFonts w:ascii="Arial Narrow" w:eastAsia="Times New Roman" w:hAnsi="Arial Narrow" w:cs="Calibri"/>
                <w:color w:val="000000"/>
                <w:lang w:eastAsia="en-ZA"/>
              </w:rPr>
              <w:t> </w:t>
            </w:r>
            <w:r w:rsidRPr="001A0FF5">
              <w:rPr>
                <w:rFonts w:ascii="Arial Narrow" w:eastAsia="Times New Roman" w:hAnsi="Arial Narrow" w:cs="Calibri"/>
                <w:color w:val="000000"/>
                <w:lang w:eastAsia="en-ZA"/>
              </w:rPr>
              <w:t>265</w:t>
            </w:r>
            <w:r>
              <w:rPr>
                <w:rFonts w:ascii="Arial Narrow" w:eastAsia="Times New Roman" w:hAnsi="Arial Narrow" w:cs="Calibri"/>
                <w:color w:val="000000"/>
                <w:lang w:eastAsia="en-ZA"/>
              </w:rPr>
              <w:t xml:space="preserve"> </w:t>
            </w:r>
            <w:r w:rsidR="00976EFA" w:rsidRPr="00976EFA">
              <w:rPr>
                <w:rFonts w:ascii="Arial Narrow" w:hAnsi="Arial Narrow" w:cs="Arial"/>
              </w:rPr>
              <w:t>000. 00</w:t>
            </w:r>
          </w:p>
        </w:tc>
      </w:tr>
      <w:tr w:rsidR="00663ABA" w:rsidRPr="001619AC" w14:paraId="727A97E4" w14:textId="77777777" w:rsidTr="00733E2F">
        <w:tc>
          <w:tcPr>
            <w:tcW w:w="14034" w:type="dxa"/>
            <w:shd w:val="clear" w:color="auto" w:fill="D9D9D9" w:themeFill="background1" w:themeFillShade="D9"/>
          </w:tcPr>
          <w:p w14:paraId="2927AF3E" w14:textId="22B5C2EB" w:rsidR="00663ABA" w:rsidRPr="001619AC" w:rsidRDefault="00663ABA" w:rsidP="000F7DFB">
            <w:pPr>
              <w:rPr>
                <w:rFonts w:ascii="Arial Narrow" w:hAnsi="Arial Narrow"/>
                <w:b/>
                <w:bCs/>
                <w:i/>
              </w:rPr>
            </w:pPr>
            <w:r w:rsidRPr="001619AC">
              <w:rPr>
                <w:rFonts w:ascii="Arial Narrow" w:hAnsi="Arial Narrow"/>
                <w:b/>
                <w:bCs/>
              </w:rPr>
              <w:t xml:space="preserve">Total actual amount (in Rands) spent by the Department / (Year to Date), </w:t>
            </w:r>
            <w:r w:rsidR="00141B32" w:rsidRPr="001619AC">
              <w:rPr>
                <w:rFonts w:ascii="Arial Narrow" w:hAnsi="Arial Narrow"/>
                <w:b/>
                <w:bCs/>
              </w:rPr>
              <w:t>i.e.,</w:t>
            </w:r>
            <w:r w:rsidRPr="001619AC">
              <w:rPr>
                <w:rFonts w:ascii="Arial Narrow" w:hAnsi="Arial Narrow"/>
                <w:b/>
                <w:bCs/>
              </w:rPr>
              <w:t xml:space="preserve"> from the beginning of this FY to the end of this Q under review</w:t>
            </w:r>
          </w:p>
        </w:tc>
      </w:tr>
      <w:tr w:rsidR="00663ABA" w:rsidRPr="001619AC" w14:paraId="056B73F8" w14:textId="77777777" w:rsidTr="00733E2F">
        <w:tc>
          <w:tcPr>
            <w:tcW w:w="14034" w:type="dxa"/>
          </w:tcPr>
          <w:p w14:paraId="6421F2C6" w14:textId="7FFD2BAC" w:rsidR="00663ABA" w:rsidRPr="001619AC" w:rsidRDefault="00D35422" w:rsidP="00403483">
            <w:pPr>
              <w:rPr>
                <w:rFonts w:ascii="Arial Narrow" w:hAnsi="Arial Narrow" w:cs="Arial"/>
              </w:rPr>
            </w:pPr>
            <w:r w:rsidRPr="00976EFA">
              <w:rPr>
                <w:rFonts w:ascii="Arial Narrow" w:hAnsi="Arial Narrow" w:cs="Arial"/>
              </w:rPr>
              <w:t>R</w:t>
            </w:r>
            <w:r w:rsidR="00473331">
              <w:rPr>
                <w:rFonts w:ascii="Arial Narrow" w:hAnsi="Arial Narrow" w:cs="Arial"/>
              </w:rPr>
              <w:t>284 483</w:t>
            </w:r>
            <w:r w:rsidRPr="00976EFA">
              <w:rPr>
                <w:rFonts w:ascii="Arial Narrow" w:hAnsi="Arial Narrow" w:cs="Arial"/>
              </w:rPr>
              <w:t xml:space="preserve"> 000. 00</w:t>
            </w:r>
          </w:p>
        </w:tc>
      </w:tr>
      <w:tr w:rsidR="00663ABA" w:rsidRPr="001619AC" w14:paraId="4515E96D" w14:textId="77777777" w:rsidTr="00733E2F">
        <w:tc>
          <w:tcPr>
            <w:tcW w:w="14034" w:type="dxa"/>
            <w:shd w:val="clear" w:color="auto" w:fill="D9D9D9" w:themeFill="background1" w:themeFillShade="D9"/>
          </w:tcPr>
          <w:p w14:paraId="064CA300" w14:textId="77777777" w:rsidR="00663ABA" w:rsidRPr="001619AC" w:rsidRDefault="00663ABA" w:rsidP="000F7DFB">
            <w:pPr>
              <w:rPr>
                <w:rFonts w:ascii="Arial Narrow" w:hAnsi="Arial Narrow"/>
                <w:b/>
                <w:bCs/>
                <w:i/>
              </w:rPr>
            </w:pPr>
            <w:r w:rsidRPr="001619AC">
              <w:rPr>
                <w:rFonts w:ascii="Arial Narrow" w:hAnsi="Arial Narrow"/>
                <w:b/>
                <w:bCs/>
              </w:rPr>
              <w:t>Percentage (% of total budget allocation) of budget expenditure for this Q under Review only</w:t>
            </w:r>
          </w:p>
        </w:tc>
      </w:tr>
      <w:tr w:rsidR="00663ABA" w:rsidRPr="001619AC" w14:paraId="0D51EE32" w14:textId="77777777" w:rsidTr="00733E2F">
        <w:tc>
          <w:tcPr>
            <w:tcW w:w="14034" w:type="dxa"/>
          </w:tcPr>
          <w:p w14:paraId="74A8DDCD" w14:textId="79B0435C" w:rsidR="00663ABA" w:rsidRPr="001619AC" w:rsidRDefault="00460AC5" w:rsidP="000F7DFB">
            <w:pPr>
              <w:rPr>
                <w:rFonts w:ascii="Arial Narrow" w:hAnsi="Arial Narrow" w:cs="Arial"/>
              </w:rPr>
            </w:pPr>
            <w:r>
              <w:rPr>
                <w:rFonts w:ascii="Arial Narrow" w:hAnsi="Arial Narrow" w:cs="Arial"/>
              </w:rPr>
              <w:t>4</w:t>
            </w:r>
            <w:r w:rsidR="00310727">
              <w:rPr>
                <w:rFonts w:ascii="Arial Narrow" w:hAnsi="Arial Narrow" w:cs="Arial"/>
              </w:rPr>
              <w:t>4</w:t>
            </w:r>
            <w:r w:rsidR="00867C29" w:rsidRPr="00867C29">
              <w:rPr>
                <w:rFonts w:ascii="Arial Narrow" w:hAnsi="Arial Narrow" w:cs="Arial"/>
              </w:rPr>
              <w:t>%</w:t>
            </w:r>
          </w:p>
        </w:tc>
      </w:tr>
      <w:tr w:rsidR="00663ABA" w:rsidRPr="001619AC" w14:paraId="7806EB00" w14:textId="77777777" w:rsidTr="00733E2F">
        <w:tc>
          <w:tcPr>
            <w:tcW w:w="14034" w:type="dxa"/>
            <w:shd w:val="clear" w:color="auto" w:fill="D9D9D9" w:themeFill="background1" w:themeFillShade="D9"/>
          </w:tcPr>
          <w:p w14:paraId="1B2BBD39" w14:textId="323517CA" w:rsidR="00663ABA" w:rsidRPr="001619AC" w:rsidRDefault="00663ABA" w:rsidP="000F7DFB">
            <w:pPr>
              <w:rPr>
                <w:rFonts w:ascii="Arial Narrow" w:hAnsi="Arial Narrow"/>
                <w:b/>
                <w:bCs/>
                <w:i/>
              </w:rPr>
            </w:pPr>
            <w:r w:rsidRPr="001619AC">
              <w:rPr>
                <w:rFonts w:ascii="Arial Narrow" w:hAnsi="Arial Narrow"/>
                <w:b/>
                <w:bCs/>
              </w:rPr>
              <w:t xml:space="preserve">Percentage (% of total budget allocation) of budget expenditure (Year to Date), </w:t>
            </w:r>
            <w:r w:rsidR="00141B32" w:rsidRPr="001619AC">
              <w:rPr>
                <w:rFonts w:ascii="Arial Narrow" w:hAnsi="Arial Narrow"/>
                <w:b/>
                <w:bCs/>
              </w:rPr>
              <w:t>i.e.,</w:t>
            </w:r>
            <w:r w:rsidRPr="001619AC">
              <w:rPr>
                <w:rFonts w:ascii="Arial Narrow" w:hAnsi="Arial Narrow"/>
                <w:b/>
                <w:bCs/>
              </w:rPr>
              <w:t xml:space="preserve"> from the beginning of this FY to the end of this Q under review</w:t>
            </w:r>
          </w:p>
        </w:tc>
      </w:tr>
      <w:tr w:rsidR="00663ABA" w:rsidRPr="001619AC" w14:paraId="0B05DC47" w14:textId="77777777" w:rsidTr="00733E2F">
        <w:tc>
          <w:tcPr>
            <w:tcW w:w="14034" w:type="dxa"/>
          </w:tcPr>
          <w:p w14:paraId="3C726127" w14:textId="2EB6D6ED" w:rsidR="00663ABA" w:rsidRPr="001619AC" w:rsidRDefault="00575988" w:rsidP="000F7DFB">
            <w:pPr>
              <w:rPr>
                <w:rFonts w:ascii="Arial Narrow" w:hAnsi="Arial Narrow" w:cs="Arial"/>
              </w:rPr>
            </w:pPr>
            <w:r>
              <w:rPr>
                <w:rFonts w:ascii="Arial Narrow" w:hAnsi="Arial Narrow" w:cs="Arial"/>
              </w:rPr>
              <w:t>8</w:t>
            </w:r>
            <w:r w:rsidR="004A28D1">
              <w:rPr>
                <w:rFonts w:ascii="Arial Narrow" w:hAnsi="Arial Narrow" w:cs="Arial"/>
              </w:rPr>
              <w:t>3</w:t>
            </w:r>
            <w:r w:rsidR="00663ABA" w:rsidRPr="001619AC">
              <w:rPr>
                <w:rFonts w:ascii="Arial Narrow" w:hAnsi="Arial Narrow" w:cs="Arial"/>
              </w:rPr>
              <w:t>%</w:t>
            </w:r>
          </w:p>
        </w:tc>
      </w:tr>
      <w:tr w:rsidR="00663ABA" w:rsidRPr="001619AC" w14:paraId="0AAC46C8" w14:textId="77777777" w:rsidTr="00733E2F">
        <w:tc>
          <w:tcPr>
            <w:tcW w:w="14034" w:type="dxa"/>
            <w:shd w:val="clear" w:color="auto" w:fill="D9D9D9" w:themeFill="background1" w:themeFillShade="D9"/>
          </w:tcPr>
          <w:p w14:paraId="7AE051BA" w14:textId="77777777" w:rsidR="00663ABA" w:rsidRPr="001619AC" w:rsidRDefault="00663ABA" w:rsidP="000F7DFB">
            <w:pPr>
              <w:rPr>
                <w:rFonts w:ascii="Arial Narrow" w:hAnsi="Arial Narrow"/>
                <w:b/>
                <w:bCs/>
                <w:i/>
              </w:rPr>
            </w:pPr>
            <w:r w:rsidRPr="001619AC">
              <w:rPr>
                <w:rFonts w:ascii="Arial Narrow" w:hAnsi="Arial Narrow"/>
                <w:b/>
                <w:bCs/>
              </w:rPr>
              <w:t>An analysis of how the % budget expenditure compares with the % APP achievement</w:t>
            </w:r>
          </w:p>
        </w:tc>
      </w:tr>
      <w:tr w:rsidR="00663ABA" w:rsidRPr="001619AC" w14:paraId="1B86CAF4" w14:textId="77777777" w:rsidTr="00733E2F">
        <w:tc>
          <w:tcPr>
            <w:tcW w:w="14034" w:type="dxa"/>
          </w:tcPr>
          <w:p w14:paraId="0E242407" w14:textId="7D709661" w:rsidR="00663ABA" w:rsidRPr="001619AC" w:rsidRDefault="00663ABA" w:rsidP="00024DEA">
            <w:pPr>
              <w:rPr>
                <w:rFonts w:ascii="Arial Narrow" w:hAnsi="Arial Narrow" w:cs="Arial"/>
              </w:rPr>
            </w:pPr>
            <w:r w:rsidRPr="001619AC">
              <w:rPr>
                <w:rFonts w:ascii="Arial Narrow" w:hAnsi="Arial Narrow" w:cs="Arial"/>
                <w:bCs/>
              </w:rPr>
              <w:t xml:space="preserve">Budget expenditure is at </w:t>
            </w:r>
            <w:r w:rsidR="00A677D5">
              <w:rPr>
                <w:rFonts w:ascii="Arial Narrow" w:hAnsi="Arial Narrow" w:cs="Arial"/>
                <w:bCs/>
              </w:rPr>
              <w:t>4</w:t>
            </w:r>
            <w:r w:rsidR="008A67D1">
              <w:rPr>
                <w:rFonts w:ascii="Arial Narrow" w:hAnsi="Arial Narrow" w:cs="Arial"/>
                <w:bCs/>
              </w:rPr>
              <w:t>4</w:t>
            </w:r>
            <w:r w:rsidRPr="001619AC">
              <w:rPr>
                <w:rFonts w:ascii="Arial Narrow" w:hAnsi="Arial Narrow" w:cs="Arial"/>
                <w:bCs/>
              </w:rPr>
              <w:t xml:space="preserve">% and APP </w:t>
            </w:r>
            <w:r w:rsidRPr="00421A57">
              <w:rPr>
                <w:rFonts w:ascii="Arial Narrow" w:hAnsi="Arial Narrow" w:cs="Arial"/>
                <w:bCs/>
                <w:color w:val="000000" w:themeColor="text1"/>
              </w:rPr>
              <w:t xml:space="preserve">achievement is at </w:t>
            </w:r>
            <w:r w:rsidR="006D7F29">
              <w:rPr>
                <w:rFonts w:ascii="Arial Narrow" w:hAnsi="Arial Narrow" w:cs="Arial"/>
                <w:bCs/>
                <w:color w:val="000000" w:themeColor="text1"/>
              </w:rPr>
              <w:t>84</w:t>
            </w:r>
            <w:r w:rsidRPr="00421A57">
              <w:rPr>
                <w:rFonts w:ascii="Arial Narrow" w:hAnsi="Arial Narrow" w:cs="Arial"/>
                <w:bCs/>
                <w:color w:val="000000" w:themeColor="text1"/>
              </w:rPr>
              <w:t>%</w:t>
            </w:r>
          </w:p>
        </w:tc>
      </w:tr>
      <w:tr w:rsidR="00663ABA" w:rsidRPr="001619AC" w14:paraId="26ABA908" w14:textId="77777777" w:rsidTr="00733E2F">
        <w:tc>
          <w:tcPr>
            <w:tcW w:w="14034" w:type="dxa"/>
            <w:shd w:val="clear" w:color="auto" w:fill="D9D9D9" w:themeFill="background1" w:themeFillShade="D9"/>
          </w:tcPr>
          <w:p w14:paraId="1D24C524" w14:textId="77777777" w:rsidR="00663ABA" w:rsidRPr="001619AC" w:rsidRDefault="00663ABA" w:rsidP="000F7DFB">
            <w:pPr>
              <w:rPr>
                <w:rFonts w:ascii="Arial Narrow" w:hAnsi="Arial Narrow"/>
                <w:b/>
                <w:bCs/>
              </w:rPr>
            </w:pPr>
            <w:r w:rsidRPr="001619AC">
              <w:rPr>
                <w:rFonts w:ascii="Arial Narrow" w:hAnsi="Arial Narrow"/>
                <w:b/>
                <w:bCs/>
              </w:rPr>
              <w:t>If there was over / under spending of greater than 3% of projection, what were the main challenges that led to the over / under spending</w:t>
            </w:r>
          </w:p>
        </w:tc>
      </w:tr>
      <w:tr w:rsidR="00663ABA" w:rsidRPr="001619AC" w14:paraId="31CF9E22" w14:textId="77777777" w:rsidTr="00733E2F">
        <w:tc>
          <w:tcPr>
            <w:tcW w:w="14034" w:type="dxa"/>
          </w:tcPr>
          <w:p w14:paraId="22805F2A" w14:textId="6CE344AB" w:rsidR="00663ABA" w:rsidRPr="00DD5F6A" w:rsidRDefault="00DD5F6A" w:rsidP="00DD5F6A">
            <w:pPr>
              <w:pStyle w:val="Default"/>
              <w:jc w:val="both"/>
              <w:rPr>
                <w:rFonts w:ascii="Arial Narrow" w:hAnsi="Arial Narrow"/>
              </w:rPr>
            </w:pPr>
            <w:r w:rsidRPr="00DD5F6A">
              <w:rPr>
                <w:rFonts w:ascii="Arial Narrow" w:hAnsi="Arial Narrow"/>
                <w:sz w:val="22"/>
                <w:szCs w:val="22"/>
              </w:rPr>
              <w:t xml:space="preserve">The underspending during the quarter under review is 6% which is mainly due delay to procurement processes for most of the projects that are still unfolding. These processes might be completed prior the end of the third quarter with implementation starting immediately. </w:t>
            </w:r>
          </w:p>
        </w:tc>
      </w:tr>
      <w:tr w:rsidR="00663ABA" w:rsidRPr="001619AC" w14:paraId="5E0BFA0B" w14:textId="77777777" w:rsidTr="00733E2F">
        <w:tc>
          <w:tcPr>
            <w:tcW w:w="14034" w:type="dxa"/>
            <w:shd w:val="clear" w:color="auto" w:fill="D9D9D9" w:themeFill="background1" w:themeFillShade="D9"/>
          </w:tcPr>
          <w:p w14:paraId="04F249F5" w14:textId="02C07AEB" w:rsidR="00663ABA" w:rsidRPr="001619AC" w:rsidRDefault="00663ABA" w:rsidP="00F81DCB">
            <w:pPr>
              <w:rPr>
                <w:rFonts w:ascii="Arial Narrow" w:hAnsi="Arial Narrow"/>
                <w:b/>
                <w:bCs/>
              </w:rPr>
            </w:pPr>
            <w:r w:rsidRPr="001619AC">
              <w:rPr>
                <w:rFonts w:ascii="Arial Narrow" w:hAnsi="Arial Narrow"/>
                <w:b/>
                <w:bCs/>
              </w:rPr>
              <w:t>Mitigating measures by the Department / Entity to remedy over / under expenditure</w:t>
            </w:r>
          </w:p>
        </w:tc>
      </w:tr>
      <w:tr w:rsidR="00663ABA" w:rsidRPr="001619AC" w14:paraId="4D8EB608" w14:textId="77777777" w:rsidTr="00733E2F">
        <w:tc>
          <w:tcPr>
            <w:tcW w:w="14034" w:type="dxa"/>
          </w:tcPr>
          <w:p w14:paraId="0C846120" w14:textId="417B0523" w:rsidR="00663ABA" w:rsidRPr="00DE32C4" w:rsidRDefault="00DE32C4" w:rsidP="00DE32C4">
            <w:pPr>
              <w:pStyle w:val="Default"/>
              <w:jc w:val="both"/>
              <w:rPr>
                <w:rFonts w:ascii="Arial Narrow" w:hAnsi="Arial Narrow"/>
              </w:rPr>
            </w:pPr>
            <w:r w:rsidRPr="00DE32C4">
              <w:rPr>
                <w:rFonts w:ascii="Arial Narrow" w:hAnsi="Arial Narrow"/>
                <w:sz w:val="22"/>
                <w:szCs w:val="22"/>
              </w:rPr>
              <w:t xml:space="preserve">The Department will Fastrack the procurement processes for the key projects are receiving priority and payment of pay progression </w:t>
            </w:r>
          </w:p>
        </w:tc>
      </w:tr>
      <w:tr w:rsidR="00663ABA" w:rsidRPr="001619AC" w14:paraId="10E3EE26" w14:textId="77777777" w:rsidTr="00733E2F">
        <w:tc>
          <w:tcPr>
            <w:tcW w:w="14034" w:type="dxa"/>
            <w:shd w:val="clear" w:color="auto" w:fill="D9D9D9" w:themeFill="background1" w:themeFillShade="D9"/>
          </w:tcPr>
          <w:p w14:paraId="76EA2D97" w14:textId="2D6D13CA" w:rsidR="00663ABA" w:rsidRPr="001619AC" w:rsidRDefault="00663ABA" w:rsidP="000F7DFB">
            <w:pPr>
              <w:rPr>
                <w:rFonts w:ascii="Arial Narrow" w:hAnsi="Arial Narrow"/>
                <w:b/>
                <w:bCs/>
              </w:rPr>
            </w:pPr>
            <w:r w:rsidRPr="001619AC">
              <w:rPr>
                <w:rFonts w:ascii="Arial Narrow" w:hAnsi="Arial Narrow"/>
                <w:b/>
                <w:bCs/>
              </w:rPr>
              <w:t>The Department achievement with respect to GEYODI responsive budgeting / procurement for the period under review</w:t>
            </w:r>
          </w:p>
        </w:tc>
      </w:tr>
      <w:tr w:rsidR="00663ABA" w:rsidRPr="001619AC" w14:paraId="46E63109" w14:textId="77777777" w:rsidTr="00733E2F">
        <w:tc>
          <w:tcPr>
            <w:tcW w:w="14034" w:type="dxa"/>
          </w:tcPr>
          <w:p w14:paraId="1333D7B0" w14:textId="49195DB1" w:rsidR="00663ABA" w:rsidRPr="00527105" w:rsidRDefault="005A02F1" w:rsidP="00527105">
            <w:pPr>
              <w:rPr>
                <w:rFonts w:ascii="Arial Narrow" w:hAnsi="Arial Narrow"/>
              </w:rPr>
            </w:pPr>
            <w:r w:rsidRPr="005A02F1">
              <w:rPr>
                <w:rFonts w:ascii="Arial Narrow" w:hAnsi="Arial Narrow"/>
              </w:rPr>
              <w:t>19% from women owned companies</w:t>
            </w:r>
          </w:p>
        </w:tc>
      </w:tr>
      <w:tr w:rsidR="00663ABA" w:rsidRPr="001619AC" w14:paraId="3789BA46" w14:textId="77777777" w:rsidTr="00733E2F">
        <w:tc>
          <w:tcPr>
            <w:tcW w:w="14034" w:type="dxa"/>
            <w:shd w:val="clear" w:color="auto" w:fill="D9D9D9" w:themeFill="background1" w:themeFillShade="D9"/>
          </w:tcPr>
          <w:p w14:paraId="07F405A8" w14:textId="6750FA32" w:rsidR="00663ABA" w:rsidRPr="001619AC" w:rsidRDefault="00663ABA" w:rsidP="003F0993">
            <w:pPr>
              <w:spacing w:line="276" w:lineRule="auto"/>
              <w:rPr>
                <w:rFonts w:ascii="Arial Narrow" w:hAnsi="Arial Narrow"/>
                <w:b/>
                <w:bCs/>
              </w:rPr>
            </w:pPr>
            <w:r w:rsidRPr="001619AC">
              <w:rPr>
                <w:rFonts w:ascii="Arial Narrow" w:hAnsi="Arial Narrow"/>
                <w:b/>
                <w:bCs/>
              </w:rPr>
              <w:t xml:space="preserve">The </w:t>
            </w:r>
            <w:r w:rsidR="00410B3F" w:rsidRPr="001619AC">
              <w:rPr>
                <w:rFonts w:ascii="Arial Narrow" w:hAnsi="Arial Narrow"/>
                <w:b/>
                <w:bCs/>
              </w:rPr>
              <w:t>Department achievement</w:t>
            </w:r>
            <w:r w:rsidRPr="001619AC">
              <w:rPr>
                <w:rFonts w:ascii="Arial Narrow" w:hAnsi="Arial Narrow"/>
                <w:b/>
                <w:bCs/>
              </w:rPr>
              <w:t xml:space="preserve"> with respect to township economy / SMME / local procurement for the period under review</w:t>
            </w:r>
          </w:p>
        </w:tc>
      </w:tr>
      <w:tr w:rsidR="00663ABA" w:rsidRPr="001619AC" w14:paraId="792A4B26" w14:textId="77777777" w:rsidTr="00733E2F">
        <w:tc>
          <w:tcPr>
            <w:tcW w:w="14034" w:type="dxa"/>
          </w:tcPr>
          <w:p w14:paraId="39BBEAC5" w14:textId="3CB98531" w:rsidR="00B20477" w:rsidRPr="001619AC" w:rsidRDefault="005937BF" w:rsidP="00024879">
            <w:pPr>
              <w:spacing w:line="276" w:lineRule="auto"/>
              <w:rPr>
                <w:rFonts w:ascii="Arial Narrow" w:hAnsi="Arial Narrow"/>
                <w:b/>
                <w:bCs/>
                <w:highlight w:val="green"/>
              </w:rPr>
            </w:pPr>
            <w:r w:rsidRPr="005937BF">
              <w:rPr>
                <w:rFonts w:ascii="Arial Narrow" w:hAnsi="Arial Narrow"/>
                <w:b/>
                <w:bCs/>
              </w:rPr>
              <w:t>2.47%</w:t>
            </w:r>
          </w:p>
        </w:tc>
      </w:tr>
      <w:tr w:rsidR="00663ABA" w:rsidRPr="001619AC" w14:paraId="06EBF615" w14:textId="77777777" w:rsidTr="00733E2F">
        <w:tc>
          <w:tcPr>
            <w:tcW w:w="14034" w:type="dxa"/>
            <w:shd w:val="clear" w:color="auto" w:fill="D9D9D9" w:themeFill="background1" w:themeFillShade="D9"/>
          </w:tcPr>
          <w:p w14:paraId="6691EADC" w14:textId="77777777" w:rsidR="00663ABA" w:rsidRPr="001619AC" w:rsidRDefault="00663ABA" w:rsidP="000F7DFB">
            <w:pPr>
              <w:rPr>
                <w:rFonts w:ascii="Arial Narrow" w:hAnsi="Arial Narrow"/>
                <w:b/>
                <w:bCs/>
              </w:rPr>
            </w:pPr>
            <w:r w:rsidRPr="001619AC">
              <w:rPr>
                <w:rFonts w:ascii="Arial Narrow" w:hAnsi="Arial Narrow"/>
                <w:b/>
                <w:bCs/>
              </w:rPr>
              <w:t>A summary for the period under review with respect to payment of service providers within 15-30 days</w:t>
            </w:r>
          </w:p>
        </w:tc>
      </w:tr>
      <w:tr w:rsidR="00663ABA" w:rsidRPr="001619AC" w14:paraId="77CB39E6" w14:textId="77777777" w:rsidTr="00733E2F">
        <w:tc>
          <w:tcPr>
            <w:tcW w:w="14034" w:type="dxa"/>
            <w:shd w:val="clear" w:color="auto" w:fill="auto"/>
          </w:tcPr>
          <w:p w14:paraId="55F24146" w14:textId="77777777" w:rsidR="00356FAF" w:rsidRPr="00356FAF" w:rsidRDefault="00356FAF" w:rsidP="00356FAF">
            <w:pPr>
              <w:spacing w:line="276" w:lineRule="auto"/>
              <w:rPr>
                <w:rFonts w:ascii="Arial Narrow" w:hAnsi="Arial Narrow"/>
              </w:rPr>
            </w:pPr>
            <w:r w:rsidRPr="00356FAF">
              <w:rPr>
                <w:rFonts w:ascii="Arial Narrow" w:hAnsi="Arial Narrow"/>
              </w:rPr>
              <w:t>The department received a total 388 invoices in the period under review and the invoices were paid as follows:</w:t>
            </w:r>
          </w:p>
          <w:p w14:paraId="49BEF4DE" w14:textId="77777777" w:rsidR="00356FAF" w:rsidRPr="00356FAF" w:rsidRDefault="00356FAF" w:rsidP="00356FAF">
            <w:pPr>
              <w:spacing w:line="276" w:lineRule="auto"/>
              <w:rPr>
                <w:rFonts w:ascii="Arial Narrow" w:hAnsi="Arial Narrow"/>
              </w:rPr>
            </w:pPr>
            <w:r w:rsidRPr="00356FAF">
              <w:rPr>
                <w:rFonts w:ascii="Arial Narrow" w:hAnsi="Arial Narrow"/>
              </w:rPr>
              <w:t>• 365 or 97% of invoices were paid within 15 days.</w:t>
            </w:r>
          </w:p>
          <w:p w14:paraId="254C3648" w14:textId="3DC4CBB4" w:rsidR="00663ABA" w:rsidRPr="001619AC" w:rsidRDefault="00356FAF" w:rsidP="00356FAF">
            <w:pPr>
              <w:spacing w:line="276" w:lineRule="auto"/>
              <w:rPr>
                <w:rFonts w:ascii="Arial Narrow" w:hAnsi="Arial Narrow"/>
              </w:rPr>
            </w:pPr>
            <w:r w:rsidRPr="00356FAF">
              <w:rPr>
                <w:rFonts w:ascii="Arial Narrow" w:hAnsi="Arial Narrow"/>
              </w:rPr>
              <w:t>• 23 or 3% of invoices were paid after 15 days before 30 days</w:t>
            </w:r>
          </w:p>
        </w:tc>
      </w:tr>
      <w:tr w:rsidR="00663ABA" w:rsidRPr="001619AC" w14:paraId="26B0F50C" w14:textId="77777777" w:rsidTr="00733E2F">
        <w:tc>
          <w:tcPr>
            <w:tcW w:w="14034" w:type="dxa"/>
            <w:shd w:val="clear" w:color="auto" w:fill="D9D9D9" w:themeFill="background1" w:themeFillShade="D9"/>
          </w:tcPr>
          <w:p w14:paraId="4A793347" w14:textId="77777777" w:rsidR="00663ABA" w:rsidRPr="001619AC" w:rsidRDefault="00663ABA" w:rsidP="000F7DFB">
            <w:pPr>
              <w:rPr>
                <w:rFonts w:ascii="Arial Narrow" w:hAnsi="Arial Narrow"/>
                <w:b/>
                <w:bCs/>
              </w:rPr>
            </w:pPr>
            <w:r w:rsidRPr="001619AC">
              <w:rPr>
                <w:rFonts w:ascii="Arial Narrow" w:hAnsi="Arial Narrow"/>
                <w:b/>
                <w:bCs/>
              </w:rPr>
              <w:t xml:space="preserve">A summary for the period under review with respect to fruitless, </w:t>
            </w:r>
            <w:proofErr w:type="gramStart"/>
            <w:r w:rsidRPr="001619AC">
              <w:rPr>
                <w:rFonts w:ascii="Arial Narrow" w:hAnsi="Arial Narrow"/>
                <w:b/>
                <w:bCs/>
              </w:rPr>
              <w:t>wasteful</w:t>
            </w:r>
            <w:proofErr w:type="gramEnd"/>
            <w:r w:rsidRPr="001619AC">
              <w:rPr>
                <w:rFonts w:ascii="Arial Narrow" w:hAnsi="Arial Narrow"/>
                <w:b/>
                <w:bCs/>
              </w:rPr>
              <w:t xml:space="preserve"> and irregular expenditure</w:t>
            </w:r>
          </w:p>
        </w:tc>
      </w:tr>
      <w:tr w:rsidR="00663ABA" w:rsidRPr="001619AC" w14:paraId="6CE4C0CF" w14:textId="77777777" w:rsidTr="00733E2F">
        <w:tc>
          <w:tcPr>
            <w:tcW w:w="14034" w:type="dxa"/>
          </w:tcPr>
          <w:p w14:paraId="6DB5A76C" w14:textId="71E303E1" w:rsidR="00663ABA" w:rsidRPr="00356FAF" w:rsidRDefault="00356FAF" w:rsidP="00356FAF">
            <w:pPr>
              <w:pStyle w:val="Default"/>
              <w:jc w:val="both"/>
            </w:pPr>
            <w:r>
              <w:rPr>
                <w:sz w:val="22"/>
                <w:szCs w:val="22"/>
              </w:rPr>
              <w:t xml:space="preserve">The Department did not incur any fruitless, wasteful, and irregular expenditure during the period under review. </w:t>
            </w:r>
          </w:p>
        </w:tc>
      </w:tr>
      <w:tr w:rsidR="00663ABA" w:rsidRPr="001619AC" w14:paraId="224A2827" w14:textId="77777777" w:rsidTr="00733E2F">
        <w:tc>
          <w:tcPr>
            <w:tcW w:w="14034" w:type="dxa"/>
            <w:shd w:val="clear" w:color="auto" w:fill="D9D9D9" w:themeFill="background1" w:themeFillShade="D9"/>
          </w:tcPr>
          <w:p w14:paraId="1EC5B8AB" w14:textId="77777777" w:rsidR="00663ABA" w:rsidRPr="001619AC" w:rsidRDefault="00663ABA" w:rsidP="00F81DCB">
            <w:pPr>
              <w:spacing w:line="276" w:lineRule="auto"/>
              <w:rPr>
                <w:rFonts w:ascii="Arial Narrow" w:hAnsi="Arial Narrow"/>
                <w:b/>
                <w:bCs/>
              </w:rPr>
            </w:pPr>
            <w:r w:rsidRPr="001619AC">
              <w:rPr>
                <w:rFonts w:ascii="Arial Narrow" w:hAnsi="Arial Narrow"/>
                <w:b/>
                <w:bCs/>
              </w:rPr>
              <w:t>A summary for the period under review with respect to efficiency / value for money in all SCM / procurement processes</w:t>
            </w:r>
          </w:p>
        </w:tc>
      </w:tr>
      <w:tr w:rsidR="00663ABA" w:rsidRPr="001619AC" w14:paraId="37C0B608" w14:textId="77777777" w:rsidTr="00733E2F">
        <w:tc>
          <w:tcPr>
            <w:tcW w:w="14034" w:type="dxa"/>
          </w:tcPr>
          <w:p w14:paraId="49AE1671" w14:textId="1FCD1E5B" w:rsidR="00506F59" w:rsidRPr="001619AC" w:rsidRDefault="00663ABA" w:rsidP="00F81DCB">
            <w:pPr>
              <w:spacing w:line="276" w:lineRule="auto"/>
              <w:rPr>
                <w:rFonts w:ascii="Arial Narrow" w:hAnsi="Arial Narrow"/>
                <w:lang w:val="en-GB"/>
              </w:rPr>
            </w:pPr>
            <w:r w:rsidRPr="001619AC">
              <w:rPr>
                <w:rFonts w:ascii="Arial Narrow" w:hAnsi="Arial Narrow"/>
                <w:lang w:val="en-GB"/>
              </w:rPr>
              <w:t>The Department report</w:t>
            </w:r>
            <w:r w:rsidR="00506F59" w:rsidRPr="001619AC">
              <w:rPr>
                <w:rFonts w:ascii="Arial Narrow" w:hAnsi="Arial Narrow"/>
                <w:lang w:val="en-GB"/>
              </w:rPr>
              <w:t xml:space="preserve"> did not report on </w:t>
            </w:r>
            <w:r w:rsidR="001445F3">
              <w:rPr>
                <w:rFonts w:ascii="Arial Narrow" w:hAnsi="Arial Narrow"/>
                <w:lang w:val="en-GB"/>
              </w:rPr>
              <w:t>SCM and or procurement processes</w:t>
            </w:r>
            <w:r w:rsidR="00506F59" w:rsidRPr="001619AC">
              <w:rPr>
                <w:rFonts w:ascii="Arial Narrow" w:hAnsi="Arial Narrow"/>
                <w:lang w:val="en-GB"/>
              </w:rPr>
              <w:t>.</w:t>
            </w:r>
          </w:p>
          <w:p w14:paraId="11F32435" w14:textId="369FC3BE" w:rsidR="00663ABA" w:rsidRPr="001619AC" w:rsidRDefault="00663ABA" w:rsidP="00F81DCB">
            <w:pPr>
              <w:spacing w:line="276" w:lineRule="auto"/>
              <w:rPr>
                <w:rFonts w:ascii="Arial Narrow" w:hAnsi="Arial Narrow"/>
                <w:lang w:val="en-GB"/>
              </w:rPr>
            </w:pPr>
          </w:p>
        </w:tc>
      </w:tr>
      <w:tr w:rsidR="00663ABA" w:rsidRPr="001619AC" w14:paraId="5D25C2A2" w14:textId="77777777" w:rsidTr="00733E2F">
        <w:tc>
          <w:tcPr>
            <w:tcW w:w="14034" w:type="dxa"/>
            <w:shd w:val="clear" w:color="auto" w:fill="D9D9D9" w:themeFill="background1" w:themeFillShade="D9"/>
          </w:tcPr>
          <w:p w14:paraId="77143442" w14:textId="77777777" w:rsidR="00663ABA" w:rsidRPr="001619AC" w:rsidRDefault="00663ABA" w:rsidP="000F7DFB">
            <w:pPr>
              <w:rPr>
                <w:rFonts w:ascii="Arial Narrow" w:hAnsi="Arial Narrow"/>
                <w:b/>
                <w:bCs/>
              </w:rPr>
            </w:pPr>
            <w:r w:rsidRPr="001619AC">
              <w:rPr>
                <w:rFonts w:ascii="Arial Narrow" w:hAnsi="Arial Narrow"/>
                <w:b/>
                <w:bCs/>
              </w:rPr>
              <w:t>A summary for the period under review with respect to reduction of fraud and corruption in all SCM / procurement processes</w:t>
            </w:r>
          </w:p>
        </w:tc>
      </w:tr>
      <w:tr w:rsidR="00663ABA" w:rsidRPr="001619AC" w14:paraId="3D42F2F4" w14:textId="77777777" w:rsidTr="00733E2F">
        <w:tc>
          <w:tcPr>
            <w:tcW w:w="14034" w:type="dxa"/>
          </w:tcPr>
          <w:p w14:paraId="0CA8A808" w14:textId="5991CD9C" w:rsidR="00663ABA" w:rsidRPr="001619AC" w:rsidRDefault="001445F3" w:rsidP="000F7DFB">
            <w:pPr>
              <w:rPr>
                <w:rFonts w:ascii="Arial Narrow" w:hAnsi="Arial Narrow"/>
              </w:rPr>
            </w:pPr>
            <w:r>
              <w:rPr>
                <w:rFonts w:ascii="Arial Narrow" w:hAnsi="Arial Narrow"/>
              </w:rPr>
              <w:t xml:space="preserve">The Department did not report on the </w:t>
            </w:r>
            <w:r w:rsidRPr="001445F3">
              <w:rPr>
                <w:rFonts w:ascii="Arial Narrow" w:hAnsi="Arial Narrow"/>
              </w:rPr>
              <w:t>reduction of fraud and corruption in all SCM / procurement processes</w:t>
            </w:r>
          </w:p>
        </w:tc>
      </w:tr>
      <w:tr w:rsidR="00663ABA" w:rsidRPr="001619AC" w14:paraId="65454D26" w14:textId="77777777" w:rsidTr="00733E2F">
        <w:tc>
          <w:tcPr>
            <w:tcW w:w="14034" w:type="dxa"/>
            <w:shd w:val="clear" w:color="auto" w:fill="D9D9D9" w:themeFill="background1" w:themeFillShade="D9"/>
          </w:tcPr>
          <w:p w14:paraId="4C6F4F62" w14:textId="77777777" w:rsidR="00663ABA" w:rsidRPr="001619AC" w:rsidRDefault="00663ABA" w:rsidP="000F7DFB">
            <w:pPr>
              <w:rPr>
                <w:rFonts w:ascii="Arial Narrow" w:hAnsi="Arial Narrow"/>
                <w:b/>
                <w:bCs/>
              </w:rPr>
            </w:pPr>
            <w:r w:rsidRPr="001619AC">
              <w:rPr>
                <w:rFonts w:ascii="Arial Narrow" w:hAnsi="Arial Narrow"/>
                <w:b/>
                <w:bCs/>
              </w:rPr>
              <w:t>A summary for the period under review with respect to ongoing clean audits</w:t>
            </w:r>
          </w:p>
        </w:tc>
      </w:tr>
      <w:tr w:rsidR="00663ABA" w:rsidRPr="001619AC" w14:paraId="5375AC37" w14:textId="77777777" w:rsidTr="00733E2F">
        <w:tc>
          <w:tcPr>
            <w:tcW w:w="14034" w:type="dxa"/>
          </w:tcPr>
          <w:p w14:paraId="2EAD8FE2" w14:textId="7CF8B12B" w:rsidR="00663ABA" w:rsidRPr="001619AC" w:rsidRDefault="00DB6D19" w:rsidP="000F7DFB">
            <w:pPr>
              <w:rPr>
                <w:rFonts w:ascii="Arial Narrow" w:hAnsi="Arial Narrow"/>
              </w:rPr>
            </w:pPr>
            <w:r>
              <w:rPr>
                <w:rFonts w:ascii="Arial Narrow" w:hAnsi="Arial Narrow"/>
              </w:rPr>
              <w:t xml:space="preserve">The Department did not report on the </w:t>
            </w:r>
            <w:r w:rsidR="00AE13CE" w:rsidRPr="00AE13CE">
              <w:rPr>
                <w:rFonts w:ascii="Arial Narrow" w:hAnsi="Arial Narrow"/>
              </w:rPr>
              <w:t>summary for the period under review with respect to ongoing clean audits</w:t>
            </w:r>
          </w:p>
        </w:tc>
      </w:tr>
      <w:tr w:rsidR="00663ABA" w:rsidRPr="001619AC" w14:paraId="4DE7B93D" w14:textId="77777777" w:rsidTr="00733E2F">
        <w:tc>
          <w:tcPr>
            <w:tcW w:w="14034" w:type="dxa"/>
            <w:shd w:val="clear" w:color="auto" w:fill="D9D9D9" w:themeFill="background1" w:themeFillShade="D9"/>
          </w:tcPr>
          <w:p w14:paraId="645C8F06" w14:textId="77777777" w:rsidR="00663ABA" w:rsidRPr="001619AC" w:rsidRDefault="00663ABA" w:rsidP="000F7DFB">
            <w:pPr>
              <w:rPr>
                <w:rFonts w:ascii="Arial Narrow" w:hAnsi="Arial Narrow"/>
                <w:b/>
                <w:bCs/>
              </w:rPr>
            </w:pPr>
            <w:r w:rsidRPr="001619AC">
              <w:rPr>
                <w:rFonts w:ascii="Arial Narrow" w:hAnsi="Arial Narrow"/>
                <w:b/>
                <w:bCs/>
              </w:rPr>
              <w:t>A summary for the period under review with respect to spending on conditional grants (where applicable)</w:t>
            </w:r>
          </w:p>
        </w:tc>
      </w:tr>
      <w:tr w:rsidR="00663ABA" w:rsidRPr="001619AC" w14:paraId="7A7A21B9" w14:textId="77777777" w:rsidTr="00733E2F">
        <w:tc>
          <w:tcPr>
            <w:tcW w:w="14034" w:type="dxa"/>
          </w:tcPr>
          <w:p w14:paraId="4DBA2DC1" w14:textId="655DD325" w:rsidR="00663ABA" w:rsidRPr="001619AC" w:rsidRDefault="00CB5E84" w:rsidP="00F81DCB">
            <w:pPr>
              <w:spacing w:line="276" w:lineRule="auto"/>
              <w:rPr>
                <w:rFonts w:ascii="Arial Narrow" w:hAnsi="Arial Narrow"/>
                <w:lang w:val="en-US"/>
              </w:rPr>
            </w:pPr>
            <w:r w:rsidRPr="00CB5E84">
              <w:rPr>
                <w:rFonts w:ascii="Arial Narrow" w:hAnsi="Arial Narrow"/>
              </w:rPr>
              <w:t>The Department transferred an amount of R489 000 to municipalities for the Extended Public Works Programme (EPWP) and R5 2 million for fire and rescue services during the period under review.</w:t>
            </w:r>
          </w:p>
        </w:tc>
      </w:tr>
      <w:tr w:rsidR="00663ABA" w:rsidRPr="001619AC" w14:paraId="74CA4C7B" w14:textId="77777777" w:rsidTr="00733E2F">
        <w:tc>
          <w:tcPr>
            <w:tcW w:w="14034" w:type="dxa"/>
            <w:shd w:val="clear" w:color="auto" w:fill="D9D9D9" w:themeFill="background1" w:themeFillShade="D9"/>
          </w:tcPr>
          <w:p w14:paraId="3A6CA387" w14:textId="77777777" w:rsidR="00663ABA" w:rsidRPr="001619AC" w:rsidRDefault="00663ABA" w:rsidP="000F7DFB">
            <w:pPr>
              <w:rPr>
                <w:rFonts w:ascii="Arial Narrow" w:hAnsi="Arial Narrow"/>
                <w:b/>
                <w:bCs/>
              </w:rPr>
            </w:pPr>
            <w:r w:rsidRPr="001619AC">
              <w:rPr>
                <w:rFonts w:ascii="Arial Narrow" w:hAnsi="Arial Narrow"/>
                <w:b/>
                <w:bCs/>
              </w:rPr>
              <w:t>Program / Sub Programme level financial performance</w:t>
            </w:r>
          </w:p>
        </w:tc>
      </w:tr>
      <w:tr w:rsidR="00663ABA" w:rsidRPr="001619AC" w14:paraId="5C814A98" w14:textId="77777777" w:rsidTr="00733E2F">
        <w:trPr>
          <w:trHeight w:val="222"/>
        </w:trPr>
        <w:tc>
          <w:tcPr>
            <w:tcW w:w="14034" w:type="dxa"/>
          </w:tcPr>
          <w:p w14:paraId="333E27E8" w14:textId="50B6D5C2" w:rsidR="00663ABA" w:rsidRPr="001619AC" w:rsidRDefault="00663ABA" w:rsidP="00B20477">
            <w:pPr>
              <w:rPr>
                <w:rFonts w:ascii="Arial Narrow" w:hAnsi="Arial Narrow"/>
              </w:rPr>
            </w:pPr>
            <w:r w:rsidRPr="001619AC">
              <w:rPr>
                <w:rFonts w:ascii="Arial Narrow" w:hAnsi="Arial Narrow"/>
              </w:rPr>
              <w:t xml:space="preserve">Programme </w:t>
            </w:r>
            <w:r w:rsidR="00B6453F" w:rsidRPr="001619AC">
              <w:rPr>
                <w:rFonts w:ascii="Arial Narrow" w:hAnsi="Arial Narrow"/>
              </w:rPr>
              <w:t>1: Quarter</w:t>
            </w:r>
            <w:r w:rsidRPr="001619AC">
              <w:rPr>
                <w:rFonts w:ascii="Arial Narrow" w:hAnsi="Arial Narrow"/>
              </w:rPr>
              <w:t xml:space="preserve"> Expenditure </w:t>
            </w:r>
            <w:r w:rsidR="004F3780" w:rsidRPr="001619AC">
              <w:rPr>
                <w:rFonts w:ascii="Arial Narrow" w:hAnsi="Arial Narrow"/>
              </w:rPr>
              <w:t>–</w:t>
            </w:r>
            <w:r w:rsidRPr="001619AC">
              <w:rPr>
                <w:rFonts w:ascii="Arial Narrow" w:hAnsi="Arial Narrow"/>
              </w:rPr>
              <w:t xml:space="preserve"> </w:t>
            </w:r>
            <w:r w:rsidR="00E643EF" w:rsidRPr="00E643EF">
              <w:rPr>
                <w:rFonts w:ascii="Arial Narrow" w:hAnsi="Arial Narrow"/>
              </w:rPr>
              <w:t>R</w:t>
            </w:r>
            <w:r w:rsidR="00E758DD">
              <w:rPr>
                <w:rFonts w:ascii="Arial Narrow" w:hAnsi="Arial Narrow"/>
              </w:rPr>
              <w:t>9</w:t>
            </w:r>
            <w:r w:rsidR="0027537B">
              <w:rPr>
                <w:rFonts w:ascii="Arial Narrow" w:hAnsi="Arial Narrow"/>
              </w:rPr>
              <w:t>7</w:t>
            </w:r>
            <w:r w:rsidR="00E758DD">
              <w:rPr>
                <w:rFonts w:ascii="Arial Narrow" w:hAnsi="Arial Narrow"/>
              </w:rPr>
              <w:t xml:space="preserve"> </w:t>
            </w:r>
            <w:r w:rsidR="0027537B">
              <w:rPr>
                <w:rFonts w:ascii="Arial Narrow" w:hAnsi="Arial Narrow"/>
              </w:rPr>
              <w:t>579</w:t>
            </w:r>
            <w:r w:rsidR="004774D8">
              <w:rPr>
                <w:rFonts w:ascii="Arial Narrow" w:hAnsi="Arial Narrow"/>
              </w:rPr>
              <w:t xml:space="preserve"> </w:t>
            </w:r>
            <w:r w:rsidR="00E643EF" w:rsidRPr="00E643EF">
              <w:rPr>
                <w:rFonts w:ascii="Arial Narrow" w:hAnsi="Arial Narrow"/>
              </w:rPr>
              <w:t xml:space="preserve">000. 00 </w:t>
            </w:r>
            <w:r w:rsidR="005715C0" w:rsidRPr="005715C0">
              <w:rPr>
                <w:rFonts w:ascii="Arial Narrow" w:hAnsi="Arial Narrow"/>
              </w:rPr>
              <w:t>(</w:t>
            </w:r>
            <w:r w:rsidR="0027537B">
              <w:rPr>
                <w:rFonts w:ascii="Arial Narrow" w:hAnsi="Arial Narrow"/>
              </w:rPr>
              <w:t>60</w:t>
            </w:r>
            <w:r w:rsidR="005715C0" w:rsidRPr="005715C0">
              <w:rPr>
                <w:rFonts w:ascii="Arial Narrow" w:hAnsi="Arial Narrow"/>
              </w:rPr>
              <w:t>%)</w:t>
            </w:r>
          </w:p>
          <w:p w14:paraId="728DAAFF" w14:textId="38B9134D" w:rsidR="00663ABA" w:rsidRPr="001619AC" w:rsidRDefault="00663ABA" w:rsidP="00B20477">
            <w:pPr>
              <w:rPr>
                <w:rFonts w:ascii="Arial Narrow" w:hAnsi="Arial Narrow"/>
              </w:rPr>
            </w:pPr>
            <w:r w:rsidRPr="001619AC">
              <w:rPr>
                <w:rFonts w:ascii="Arial Narrow" w:hAnsi="Arial Narrow"/>
              </w:rPr>
              <w:t>Programme 2: Quarter Expenditure –</w:t>
            </w:r>
            <w:r w:rsidR="00591937">
              <w:t xml:space="preserve"> </w:t>
            </w:r>
            <w:r w:rsidR="00401702" w:rsidRPr="00401702">
              <w:rPr>
                <w:rFonts w:ascii="Arial Narrow" w:hAnsi="Arial Narrow"/>
              </w:rPr>
              <w:t>R</w:t>
            </w:r>
            <w:r w:rsidR="00904252">
              <w:rPr>
                <w:rFonts w:ascii="Arial Narrow" w:hAnsi="Arial Narrow"/>
              </w:rPr>
              <w:t>1</w:t>
            </w:r>
            <w:r w:rsidR="00DA3E45">
              <w:rPr>
                <w:rFonts w:ascii="Arial Narrow" w:hAnsi="Arial Narrow"/>
              </w:rPr>
              <w:t>21 707</w:t>
            </w:r>
            <w:r w:rsidR="009F6A3C">
              <w:rPr>
                <w:rFonts w:ascii="Arial Narrow" w:hAnsi="Arial Narrow"/>
              </w:rPr>
              <w:t xml:space="preserve"> </w:t>
            </w:r>
            <w:r w:rsidR="00401702" w:rsidRPr="00401702">
              <w:rPr>
                <w:rFonts w:ascii="Arial Narrow" w:hAnsi="Arial Narrow"/>
              </w:rPr>
              <w:t xml:space="preserve">000. 00 </w:t>
            </w:r>
            <w:r w:rsidR="00591937" w:rsidRPr="00591937">
              <w:rPr>
                <w:rFonts w:ascii="Arial Narrow" w:hAnsi="Arial Narrow"/>
              </w:rPr>
              <w:t>(</w:t>
            </w:r>
            <w:r w:rsidR="00904252">
              <w:rPr>
                <w:rFonts w:ascii="Arial Narrow" w:hAnsi="Arial Narrow"/>
              </w:rPr>
              <w:t>4</w:t>
            </w:r>
            <w:r w:rsidR="0027537B">
              <w:rPr>
                <w:rFonts w:ascii="Arial Narrow" w:hAnsi="Arial Narrow"/>
              </w:rPr>
              <w:t>0</w:t>
            </w:r>
            <w:r w:rsidR="00591937" w:rsidRPr="00591937">
              <w:rPr>
                <w:rFonts w:ascii="Arial Narrow" w:hAnsi="Arial Narrow"/>
              </w:rPr>
              <w:t>%)</w:t>
            </w:r>
          </w:p>
          <w:p w14:paraId="2859ECBB" w14:textId="33034140" w:rsidR="00663ABA" w:rsidRPr="001619AC" w:rsidRDefault="00663ABA" w:rsidP="00B20477">
            <w:pPr>
              <w:rPr>
                <w:rFonts w:ascii="Arial Narrow" w:hAnsi="Arial Narrow"/>
              </w:rPr>
            </w:pPr>
            <w:r w:rsidRPr="001619AC">
              <w:rPr>
                <w:rFonts w:ascii="Arial Narrow" w:hAnsi="Arial Narrow"/>
              </w:rPr>
              <w:t xml:space="preserve">Programme 3: Quarter Expenditure </w:t>
            </w:r>
            <w:r w:rsidR="004F3780" w:rsidRPr="001619AC">
              <w:rPr>
                <w:rFonts w:ascii="Arial Narrow" w:hAnsi="Arial Narrow"/>
              </w:rPr>
              <w:t>–</w:t>
            </w:r>
            <w:r w:rsidR="00CF7775">
              <w:t xml:space="preserve"> </w:t>
            </w:r>
            <w:r w:rsidR="003E2060" w:rsidRPr="003E2060">
              <w:rPr>
                <w:rFonts w:ascii="Arial Narrow" w:hAnsi="Arial Narrow"/>
              </w:rPr>
              <w:t>R</w:t>
            </w:r>
            <w:r w:rsidR="008C587C">
              <w:rPr>
                <w:rFonts w:ascii="Arial Narrow" w:hAnsi="Arial Narrow"/>
              </w:rPr>
              <w:t>55 865</w:t>
            </w:r>
            <w:r w:rsidR="00527E7F">
              <w:rPr>
                <w:rFonts w:ascii="Arial Narrow" w:hAnsi="Arial Narrow"/>
              </w:rPr>
              <w:t xml:space="preserve"> </w:t>
            </w:r>
            <w:r w:rsidR="003E2060" w:rsidRPr="003E2060">
              <w:rPr>
                <w:rFonts w:ascii="Arial Narrow" w:hAnsi="Arial Narrow"/>
              </w:rPr>
              <w:t xml:space="preserve">000. 00 </w:t>
            </w:r>
            <w:r w:rsidR="00CF7775" w:rsidRPr="00CF7775">
              <w:rPr>
                <w:rFonts w:ascii="Arial Narrow" w:hAnsi="Arial Narrow"/>
              </w:rPr>
              <w:t>(</w:t>
            </w:r>
            <w:r w:rsidR="00DA3E45">
              <w:rPr>
                <w:rFonts w:ascii="Arial Narrow" w:hAnsi="Arial Narrow"/>
              </w:rPr>
              <w:t>37</w:t>
            </w:r>
            <w:r w:rsidR="00CF7775" w:rsidRPr="00CF7775">
              <w:rPr>
                <w:rFonts w:ascii="Arial Narrow" w:hAnsi="Arial Narrow"/>
              </w:rPr>
              <w:t>%)</w:t>
            </w:r>
          </w:p>
          <w:p w14:paraId="0FE4EDBE" w14:textId="04976B3D" w:rsidR="00562F87" w:rsidRPr="001619AC" w:rsidRDefault="007D5475" w:rsidP="00B20477">
            <w:pPr>
              <w:rPr>
                <w:rFonts w:ascii="Arial Narrow" w:hAnsi="Arial Narrow"/>
              </w:rPr>
            </w:pPr>
            <w:r w:rsidRPr="001619AC">
              <w:rPr>
                <w:rFonts w:ascii="Arial Narrow" w:hAnsi="Arial Narrow"/>
              </w:rPr>
              <w:t>Programme</w:t>
            </w:r>
            <w:r w:rsidR="00562F87" w:rsidRPr="001619AC">
              <w:rPr>
                <w:rFonts w:ascii="Arial Narrow" w:hAnsi="Arial Narrow"/>
              </w:rPr>
              <w:t xml:space="preserve"> 4: Quarter Expenditure – </w:t>
            </w:r>
            <w:r w:rsidR="008A766B" w:rsidRPr="008A766B">
              <w:rPr>
                <w:rFonts w:ascii="Arial Narrow" w:hAnsi="Arial Narrow"/>
              </w:rPr>
              <w:t>R</w:t>
            </w:r>
            <w:r w:rsidR="002D6381">
              <w:rPr>
                <w:rFonts w:ascii="Arial Narrow" w:hAnsi="Arial Narrow"/>
              </w:rPr>
              <w:t>9 332</w:t>
            </w:r>
            <w:r w:rsidR="00D340DC">
              <w:rPr>
                <w:rFonts w:ascii="Arial Narrow" w:hAnsi="Arial Narrow"/>
              </w:rPr>
              <w:t xml:space="preserve"> </w:t>
            </w:r>
            <w:r w:rsidR="008A766B" w:rsidRPr="008A766B">
              <w:rPr>
                <w:rFonts w:ascii="Arial Narrow" w:hAnsi="Arial Narrow"/>
              </w:rPr>
              <w:t xml:space="preserve">000. 00 </w:t>
            </w:r>
            <w:r w:rsidR="00AC7BFB" w:rsidRPr="00AC7BFB">
              <w:rPr>
                <w:rFonts w:ascii="Arial Narrow" w:hAnsi="Arial Narrow"/>
              </w:rPr>
              <w:t>(</w:t>
            </w:r>
            <w:r w:rsidR="002D6381">
              <w:rPr>
                <w:rFonts w:ascii="Arial Narrow" w:hAnsi="Arial Narrow"/>
              </w:rPr>
              <w:t>4</w:t>
            </w:r>
            <w:r w:rsidR="00D340DC">
              <w:rPr>
                <w:rFonts w:ascii="Arial Narrow" w:hAnsi="Arial Narrow"/>
              </w:rPr>
              <w:t>8</w:t>
            </w:r>
            <w:r w:rsidR="00AC7BFB" w:rsidRPr="00AC7BFB">
              <w:rPr>
                <w:rFonts w:ascii="Arial Narrow" w:hAnsi="Arial Narrow"/>
              </w:rPr>
              <w:t>%)</w:t>
            </w:r>
          </w:p>
        </w:tc>
      </w:tr>
    </w:tbl>
    <w:p w14:paraId="6C4F37F3" w14:textId="52706C72" w:rsidR="008E0B97" w:rsidRPr="00102A1E" w:rsidRDefault="008E0B97" w:rsidP="008E0B97">
      <w:pPr>
        <w:pStyle w:val="Heading1"/>
        <w:shd w:val="clear" w:color="auto" w:fill="D9D9D9" w:themeFill="background1" w:themeFillShade="D9"/>
        <w:rPr>
          <w:rFonts w:ascii="Arial Narrow" w:hAnsi="Arial Narrow"/>
          <w:color w:val="auto"/>
          <w:sz w:val="22"/>
          <w:szCs w:val="22"/>
        </w:rPr>
      </w:pPr>
      <w:bookmarkStart w:id="16" w:name="_Toc50576915"/>
      <w:r w:rsidRPr="00630C5C">
        <w:rPr>
          <w:rFonts w:ascii="Arial Narrow" w:hAnsi="Arial Narrow"/>
          <w:color w:val="auto"/>
          <w:sz w:val="22"/>
          <w:szCs w:val="22"/>
        </w:rPr>
        <w:t>5</w:t>
      </w:r>
      <w:r w:rsidR="00AF23BE">
        <w:rPr>
          <w:rFonts w:ascii="Arial Narrow" w:hAnsi="Arial Narrow"/>
          <w:color w:val="auto"/>
          <w:sz w:val="22"/>
          <w:szCs w:val="22"/>
        </w:rPr>
        <w:t>.</w:t>
      </w:r>
      <w:r w:rsidRPr="00630C5C">
        <w:rPr>
          <w:rFonts w:ascii="Arial Narrow" w:hAnsi="Arial Narrow"/>
          <w:color w:val="auto"/>
          <w:sz w:val="22"/>
          <w:szCs w:val="22"/>
        </w:rPr>
        <w:tab/>
      </w:r>
      <w:r w:rsidR="00B839BB" w:rsidRPr="00102A1E">
        <w:rPr>
          <w:rFonts w:ascii="Arial Narrow" w:hAnsi="Arial Narrow"/>
          <w:color w:val="auto"/>
          <w:sz w:val="22"/>
          <w:szCs w:val="22"/>
        </w:rPr>
        <w:t xml:space="preserve">OVERSIGHT ON </w:t>
      </w:r>
      <w:r w:rsidR="00D74068" w:rsidRPr="00102A1E">
        <w:rPr>
          <w:rFonts w:ascii="Arial Narrow" w:hAnsi="Arial Narrow"/>
          <w:color w:val="auto"/>
          <w:sz w:val="22"/>
          <w:szCs w:val="22"/>
        </w:rPr>
        <w:t>DEPARTMENT / ENTITY</w:t>
      </w:r>
      <w:r w:rsidRPr="00102A1E">
        <w:rPr>
          <w:rFonts w:ascii="Arial Narrow" w:hAnsi="Arial Narrow"/>
          <w:color w:val="auto"/>
          <w:sz w:val="22"/>
          <w:szCs w:val="22"/>
        </w:rPr>
        <w:t xml:space="preserve"> RESOLUTIONS AND PETITIONS MANAGEMENT</w:t>
      </w:r>
      <w:bookmarkEnd w:id="16"/>
    </w:p>
    <w:tbl>
      <w:tblPr>
        <w:tblStyle w:val="TableGrid"/>
        <w:tblW w:w="14034" w:type="dxa"/>
        <w:tblInd w:w="-5" w:type="dxa"/>
        <w:tblLook w:val="04A0" w:firstRow="1" w:lastRow="0" w:firstColumn="1" w:lastColumn="0" w:noHBand="0" w:noVBand="1"/>
      </w:tblPr>
      <w:tblGrid>
        <w:gridCol w:w="6944"/>
        <w:gridCol w:w="7090"/>
      </w:tblGrid>
      <w:tr w:rsidR="008E0B97" w:rsidRPr="00102A1E" w14:paraId="020CDC3A" w14:textId="77777777" w:rsidTr="008E0B97">
        <w:tc>
          <w:tcPr>
            <w:tcW w:w="14034" w:type="dxa"/>
            <w:gridSpan w:val="2"/>
            <w:shd w:val="clear" w:color="auto" w:fill="D6E3BC" w:themeFill="accent3" w:themeFillTint="66"/>
          </w:tcPr>
          <w:p w14:paraId="6262C42D" w14:textId="6B49B8F5" w:rsidR="008E0B97" w:rsidRPr="00102A1E" w:rsidRDefault="00600AFA" w:rsidP="00600AFA">
            <w:pPr>
              <w:rPr>
                <w:rFonts w:ascii="Arial Narrow" w:hAnsi="Arial Narrow"/>
                <w:b/>
              </w:rPr>
            </w:pPr>
            <w:r w:rsidRPr="00102A1E">
              <w:rPr>
                <w:rFonts w:ascii="Arial Narrow" w:hAnsi="Arial Narrow"/>
                <w:b/>
              </w:rPr>
              <w:t xml:space="preserve">5.1 </w:t>
            </w:r>
            <w:r w:rsidR="008E0B97" w:rsidRPr="00102A1E">
              <w:rPr>
                <w:rFonts w:ascii="Arial Narrow" w:hAnsi="Arial Narrow"/>
                <w:b/>
              </w:rPr>
              <w:t xml:space="preserve">THE DETAILS ON </w:t>
            </w:r>
            <w:r w:rsidR="00D74068" w:rsidRPr="00102A1E">
              <w:rPr>
                <w:rFonts w:ascii="Arial Narrow" w:hAnsi="Arial Narrow"/>
                <w:b/>
              </w:rPr>
              <w:t>DEPARTMENT / ENTITY</w:t>
            </w:r>
            <w:r w:rsidR="008E0B97" w:rsidRPr="00102A1E">
              <w:rPr>
                <w:rFonts w:ascii="Arial Narrow" w:hAnsi="Arial Narrow"/>
                <w:b/>
              </w:rPr>
              <w:t xml:space="preserve"> RESOLUTIONS MANAGEMENT</w:t>
            </w:r>
          </w:p>
        </w:tc>
      </w:tr>
      <w:tr w:rsidR="008E0B97" w:rsidRPr="001619AC" w14:paraId="2D4DDAEF" w14:textId="77777777" w:rsidTr="008E0B97">
        <w:tc>
          <w:tcPr>
            <w:tcW w:w="6944" w:type="dxa"/>
            <w:shd w:val="clear" w:color="auto" w:fill="D9D9D9" w:themeFill="background1" w:themeFillShade="D9"/>
          </w:tcPr>
          <w:p w14:paraId="4269436F" w14:textId="4E443ECB" w:rsidR="008E0B97" w:rsidRPr="00102A1E" w:rsidRDefault="008E0B97" w:rsidP="000F7DFB">
            <w:pPr>
              <w:jc w:val="left"/>
              <w:rPr>
                <w:rFonts w:ascii="Arial Narrow" w:hAnsi="Arial Narrow" w:cs="Arial Narrow"/>
                <w:b/>
                <w:bCs/>
                <w:iCs/>
              </w:rPr>
            </w:pPr>
            <w:r w:rsidRPr="00102A1E">
              <w:rPr>
                <w:rFonts w:ascii="Arial Narrow" w:hAnsi="Arial Narrow" w:cs="Arial Narrow"/>
                <w:b/>
                <w:bCs/>
                <w:iCs/>
              </w:rPr>
              <w:t xml:space="preserve">How many Responses / Actions to Resolutions were due by the </w:t>
            </w:r>
            <w:r w:rsidR="00D74068" w:rsidRPr="00102A1E">
              <w:rPr>
                <w:rFonts w:ascii="Arial Narrow" w:hAnsi="Arial Narrow" w:cs="Arial Narrow"/>
                <w:b/>
                <w:bCs/>
                <w:iCs/>
              </w:rPr>
              <w:t>Department / Entity</w:t>
            </w:r>
            <w:r w:rsidRPr="00102A1E">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1619AC" w:rsidRDefault="008E0B97" w:rsidP="000F7DFB">
            <w:pPr>
              <w:jc w:val="left"/>
              <w:rPr>
                <w:rFonts w:ascii="Arial Narrow" w:hAnsi="Arial Narrow" w:cs="Arial Narrow"/>
                <w:b/>
                <w:bCs/>
                <w:iCs/>
              </w:rPr>
            </w:pPr>
            <w:r w:rsidRPr="00102A1E">
              <w:rPr>
                <w:rFonts w:ascii="Arial Narrow" w:hAnsi="Arial Narrow" w:cs="Arial Narrow"/>
                <w:b/>
                <w:bCs/>
                <w:iCs/>
              </w:rPr>
              <w:t xml:space="preserve">With respect to any and all Resolutions that were due in the Quarter under review, how many Resolutions have been successfully responded to by the </w:t>
            </w:r>
            <w:r w:rsidR="00D74068" w:rsidRPr="00102A1E">
              <w:rPr>
                <w:rFonts w:ascii="Arial Narrow" w:hAnsi="Arial Narrow" w:cs="Arial Narrow"/>
                <w:b/>
                <w:bCs/>
                <w:iCs/>
              </w:rPr>
              <w:t>Department / Entity</w:t>
            </w:r>
          </w:p>
        </w:tc>
      </w:tr>
      <w:tr w:rsidR="008E0B97" w:rsidRPr="001619AC" w14:paraId="71C6C83C" w14:textId="77777777" w:rsidTr="000F7DFB">
        <w:tc>
          <w:tcPr>
            <w:tcW w:w="6944" w:type="dxa"/>
            <w:shd w:val="clear" w:color="auto" w:fill="auto"/>
          </w:tcPr>
          <w:p w14:paraId="1ED4D326" w14:textId="6EBDECD9" w:rsidR="008E0B97" w:rsidRPr="001619AC" w:rsidRDefault="00530199" w:rsidP="000F7DFB">
            <w:pPr>
              <w:jc w:val="left"/>
              <w:rPr>
                <w:rFonts w:ascii="Arial Narrow" w:hAnsi="Arial Narrow" w:cs="Arial"/>
                <w:iCs/>
              </w:rPr>
            </w:pPr>
            <w:r>
              <w:rPr>
                <w:rFonts w:ascii="Arial Narrow" w:hAnsi="Arial Narrow" w:cs="Arial"/>
              </w:rPr>
              <w:t>15</w:t>
            </w:r>
            <w:r w:rsidR="00B56503" w:rsidRPr="00630C5C">
              <w:rPr>
                <w:rFonts w:ascii="Arial Narrow" w:hAnsi="Arial Narrow" w:cs="Arial"/>
              </w:rPr>
              <w:t xml:space="preserve"> Resolutions</w:t>
            </w:r>
            <w:r w:rsidR="00185025" w:rsidRPr="001619AC">
              <w:rPr>
                <w:rFonts w:ascii="Arial Narrow" w:hAnsi="Arial Narrow" w:cs="Arial"/>
              </w:rPr>
              <w:t xml:space="preserve"> </w:t>
            </w:r>
          </w:p>
        </w:tc>
        <w:tc>
          <w:tcPr>
            <w:tcW w:w="7090" w:type="dxa"/>
            <w:shd w:val="clear" w:color="auto" w:fill="auto"/>
          </w:tcPr>
          <w:p w14:paraId="65B527DA" w14:textId="3562014D" w:rsidR="008E0B97" w:rsidRPr="001619AC" w:rsidRDefault="0044750D" w:rsidP="000F7DFB">
            <w:pPr>
              <w:jc w:val="left"/>
              <w:rPr>
                <w:rFonts w:ascii="Arial Narrow" w:hAnsi="Arial Narrow" w:cs="Arial"/>
                <w:iCs/>
              </w:rPr>
            </w:pPr>
            <w:r>
              <w:rPr>
                <w:rFonts w:ascii="Arial Narrow" w:hAnsi="Arial Narrow" w:cs="Arial"/>
                <w:iCs/>
              </w:rPr>
              <w:t xml:space="preserve">The </w:t>
            </w:r>
            <w:r w:rsidR="00F970B0">
              <w:rPr>
                <w:rFonts w:ascii="Arial Narrow" w:hAnsi="Arial Narrow" w:cs="Arial"/>
                <w:iCs/>
              </w:rPr>
              <w:t xml:space="preserve">Portfolio </w:t>
            </w:r>
            <w:r w:rsidR="00530199">
              <w:rPr>
                <w:rFonts w:ascii="Arial Narrow" w:hAnsi="Arial Narrow" w:cs="Arial"/>
                <w:iCs/>
              </w:rPr>
              <w:t>Committee has</w:t>
            </w:r>
            <w:r w:rsidR="00F970B0">
              <w:rPr>
                <w:rFonts w:ascii="Arial Narrow" w:hAnsi="Arial Narrow" w:cs="Arial"/>
                <w:iCs/>
              </w:rPr>
              <w:t xml:space="preserve"> received</w:t>
            </w:r>
            <w:r>
              <w:rPr>
                <w:rFonts w:ascii="Arial Narrow" w:hAnsi="Arial Narrow" w:cs="Arial"/>
                <w:iCs/>
              </w:rPr>
              <w:t xml:space="preserve"> respon</w:t>
            </w:r>
            <w:r w:rsidR="002F4577">
              <w:rPr>
                <w:rFonts w:ascii="Arial Narrow" w:hAnsi="Arial Narrow" w:cs="Arial"/>
                <w:iCs/>
              </w:rPr>
              <w:t>ses</w:t>
            </w:r>
            <w:r>
              <w:rPr>
                <w:rFonts w:ascii="Arial Narrow" w:hAnsi="Arial Narrow" w:cs="Arial"/>
                <w:iCs/>
              </w:rPr>
              <w:t xml:space="preserve"> to all resolutio</w:t>
            </w:r>
            <w:r w:rsidR="00630C5C">
              <w:rPr>
                <w:rFonts w:ascii="Arial Narrow" w:hAnsi="Arial Narrow" w:cs="Arial"/>
                <w:iCs/>
              </w:rPr>
              <w:t>ns on the Budget  Vote 7 202</w:t>
            </w:r>
            <w:r w:rsidR="00102A1E">
              <w:rPr>
                <w:rFonts w:ascii="Arial Narrow" w:hAnsi="Arial Narrow" w:cs="Arial"/>
                <w:iCs/>
              </w:rPr>
              <w:t>3</w:t>
            </w:r>
            <w:r w:rsidR="00630C5C">
              <w:rPr>
                <w:rFonts w:ascii="Arial Narrow" w:hAnsi="Arial Narrow" w:cs="Arial"/>
                <w:iCs/>
              </w:rPr>
              <w:t>2</w:t>
            </w:r>
            <w:r w:rsidR="00102A1E">
              <w:rPr>
                <w:rFonts w:ascii="Arial Narrow" w:hAnsi="Arial Narrow" w:cs="Arial"/>
                <w:iCs/>
              </w:rPr>
              <w:t>4</w:t>
            </w:r>
            <w:r w:rsidR="00630C5C">
              <w:rPr>
                <w:rFonts w:ascii="Arial Narrow" w:hAnsi="Arial Narrow" w:cs="Arial"/>
                <w:iCs/>
              </w:rPr>
              <w:t xml:space="preserve"> FY and the </w:t>
            </w:r>
            <w:r w:rsidR="00630C5C" w:rsidRPr="00630C5C">
              <w:rPr>
                <w:rFonts w:ascii="Arial Narrow" w:hAnsi="Arial Narrow" w:cs="Arial"/>
                <w:iCs/>
              </w:rPr>
              <w:t>Focussed Intervention Study (FIS) report emanating from the 20</w:t>
            </w:r>
            <w:r w:rsidR="00C12F48">
              <w:rPr>
                <w:rFonts w:ascii="Arial Narrow" w:hAnsi="Arial Narrow" w:cs="Arial"/>
                <w:iCs/>
              </w:rPr>
              <w:t>2</w:t>
            </w:r>
            <w:r w:rsidR="00102A1E">
              <w:rPr>
                <w:rFonts w:ascii="Arial Narrow" w:hAnsi="Arial Narrow" w:cs="Arial"/>
                <w:iCs/>
              </w:rPr>
              <w:t>1</w:t>
            </w:r>
            <w:r w:rsidR="00630C5C" w:rsidRPr="00630C5C">
              <w:rPr>
                <w:rFonts w:ascii="Arial Narrow" w:hAnsi="Arial Narrow" w:cs="Arial"/>
                <w:iCs/>
              </w:rPr>
              <w:t>2</w:t>
            </w:r>
            <w:r w:rsidR="00102A1E">
              <w:rPr>
                <w:rFonts w:ascii="Arial Narrow" w:hAnsi="Arial Narrow" w:cs="Arial"/>
                <w:iCs/>
              </w:rPr>
              <w:t>2</w:t>
            </w:r>
            <w:r w:rsidR="00630C5C" w:rsidRPr="00630C5C">
              <w:rPr>
                <w:rFonts w:ascii="Arial Narrow" w:hAnsi="Arial Narrow" w:cs="Arial"/>
                <w:iCs/>
              </w:rPr>
              <w:t xml:space="preserve"> FY annual report of the department of CoGTA.</w:t>
            </w:r>
          </w:p>
        </w:tc>
      </w:tr>
      <w:tr w:rsidR="008E0B97" w:rsidRPr="001619AC" w14:paraId="015A03B4" w14:textId="77777777" w:rsidTr="008E0B97">
        <w:tc>
          <w:tcPr>
            <w:tcW w:w="14034" w:type="dxa"/>
            <w:gridSpan w:val="2"/>
            <w:shd w:val="clear" w:color="auto" w:fill="D9D9D9" w:themeFill="background1" w:themeFillShade="D9"/>
          </w:tcPr>
          <w:p w14:paraId="71FC912B" w14:textId="4B1D86CE" w:rsidR="008E0B97" w:rsidRPr="001619AC" w:rsidRDefault="008E0B97" w:rsidP="000F7DFB">
            <w:pPr>
              <w:jc w:val="left"/>
              <w:rPr>
                <w:rFonts w:ascii="Arial Narrow" w:hAnsi="Arial Narrow" w:cs="Arial Narrow"/>
                <w:b/>
                <w:bCs/>
                <w:iCs/>
              </w:rPr>
            </w:pPr>
            <w:r w:rsidRPr="001619AC">
              <w:rPr>
                <w:rFonts w:ascii="Arial Narrow" w:hAnsi="Arial Narrow" w:cs="Arial Narrow"/>
                <w:b/>
                <w:bCs/>
                <w:iCs/>
              </w:rPr>
              <w:t xml:space="preserve">What is the Committees perception of the Quality and Timeliness of </w:t>
            </w:r>
            <w:r w:rsidR="00D74068" w:rsidRPr="001619AC">
              <w:rPr>
                <w:rFonts w:ascii="Arial Narrow" w:hAnsi="Arial Narrow" w:cs="Arial Narrow"/>
                <w:b/>
                <w:bCs/>
                <w:iCs/>
              </w:rPr>
              <w:t>Department / Entity</w:t>
            </w:r>
            <w:r w:rsidRPr="001619AC">
              <w:rPr>
                <w:rFonts w:ascii="Arial Narrow" w:hAnsi="Arial Narrow" w:cs="Arial Narrow"/>
                <w:b/>
                <w:bCs/>
                <w:iCs/>
              </w:rPr>
              <w:t xml:space="preserve"> responses to Committee Resolutions</w:t>
            </w:r>
          </w:p>
        </w:tc>
      </w:tr>
      <w:tr w:rsidR="008E0B97" w:rsidRPr="001619AC" w14:paraId="1D36AAFF" w14:textId="77777777" w:rsidTr="000F7DFB">
        <w:tc>
          <w:tcPr>
            <w:tcW w:w="14034" w:type="dxa"/>
            <w:gridSpan w:val="2"/>
          </w:tcPr>
          <w:p w14:paraId="754CC536" w14:textId="215C7018" w:rsidR="008E0B97" w:rsidRPr="001619AC" w:rsidRDefault="003A2549" w:rsidP="000F7DFB">
            <w:pPr>
              <w:jc w:val="left"/>
              <w:rPr>
                <w:rFonts w:ascii="Arial Narrow" w:hAnsi="Arial Narrow" w:cs="Arial Narrow"/>
                <w:bCs/>
              </w:rPr>
            </w:pPr>
            <w:r>
              <w:rPr>
                <w:rFonts w:ascii="Arial Narrow" w:hAnsi="Arial Narrow" w:cs="Arial Narrow"/>
                <w:bCs/>
              </w:rPr>
              <w:t>The Portfolio Committee take</w:t>
            </w:r>
            <w:r w:rsidR="0062422E">
              <w:rPr>
                <w:rFonts w:ascii="Arial Narrow" w:hAnsi="Arial Narrow" w:cs="Arial Narrow"/>
                <w:bCs/>
              </w:rPr>
              <w:t xml:space="preserve"> seriously on the quality and timeliness of respon</w:t>
            </w:r>
            <w:r w:rsidR="00CF1606">
              <w:rPr>
                <w:rFonts w:ascii="Arial Narrow" w:hAnsi="Arial Narrow" w:cs="Arial Narrow"/>
                <w:bCs/>
              </w:rPr>
              <w:t>ses</w:t>
            </w:r>
            <w:r w:rsidR="0062422E">
              <w:rPr>
                <w:rFonts w:ascii="Arial Narrow" w:hAnsi="Arial Narrow" w:cs="Arial Narrow"/>
                <w:bCs/>
              </w:rPr>
              <w:t xml:space="preserve"> to the resolutions. </w:t>
            </w:r>
            <w:r w:rsidR="00CF1606">
              <w:rPr>
                <w:rFonts w:ascii="Arial Narrow" w:hAnsi="Arial Narrow" w:cs="Arial Narrow"/>
                <w:bCs/>
              </w:rPr>
              <w:t xml:space="preserve">The Portfolio Committee </w:t>
            </w:r>
            <w:r w:rsidR="00A228EB">
              <w:rPr>
                <w:rFonts w:ascii="Arial Narrow" w:hAnsi="Arial Narrow" w:cs="Arial Narrow"/>
                <w:bCs/>
              </w:rPr>
              <w:t xml:space="preserve">always </w:t>
            </w:r>
            <w:r w:rsidR="000C7AC4">
              <w:rPr>
                <w:rFonts w:ascii="Arial Narrow" w:hAnsi="Arial Narrow" w:cs="Arial Narrow"/>
                <w:bCs/>
              </w:rPr>
              <w:t>remind</w:t>
            </w:r>
            <w:r w:rsidR="00A228EB">
              <w:rPr>
                <w:rFonts w:ascii="Arial Narrow" w:hAnsi="Arial Narrow" w:cs="Arial Narrow"/>
                <w:bCs/>
              </w:rPr>
              <w:t>s</w:t>
            </w:r>
            <w:r w:rsidR="000C7AC4">
              <w:rPr>
                <w:rFonts w:ascii="Arial Narrow" w:hAnsi="Arial Narrow" w:cs="Arial Narrow"/>
                <w:bCs/>
              </w:rPr>
              <w:t xml:space="preserve"> the Department through phone calls and emails on the outstanding resolutions.</w:t>
            </w:r>
          </w:p>
        </w:tc>
      </w:tr>
      <w:tr w:rsidR="008E0B97" w:rsidRPr="001619AC" w14:paraId="2EC4CEAC" w14:textId="77777777" w:rsidTr="008E0B97">
        <w:tc>
          <w:tcPr>
            <w:tcW w:w="14034" w:type="dxa"/>
            <w:gridSpan w:val="2"/>
            <w:shd w:val="clear" w:color="auto" w:fill="D9D9D9" w:themeFill="background1" w:themeFillShade="D9"/>
          </w:tcPr>
          <w:p w14:paraId="554AB9C0" w14:textId="35BC485C" w:rsidR="008E0B97" w:rsidRPr="001619AC" w:rsidRDefault="008E0B97" w:rsidP="000F7DFB">
            <w:pPr>
              <w:jc w:val="left"/>
              <w:rPr>
                <w:rFonts w:ascii="Arial Narrow" w:hAnsi="Arial Narrow" w:cs="Arial Narrow"/>
                <w:b/>
                <w:bCs/>
              </w:rPr>
            </w:pPr>
            <w:r w:rsidRPr="001619AC">
              <w:rPr>
                <w:rFonts w:ascii="Arial Narrow" w:hAnsi="Arial Narrow" w:cs="Arial Narrow"/>
                <w:b/>
                <w:bCs/>
                <w:iCs/>
              </w:rPr>
              <w:t xml:space="preserve">With respect to the Resolutions / Action due during the Quarter under review but still overdue, what reasons have been provided by the </w:t>
            </w:r>
            <w:r w:rsidR="00D74068" w:rsidRPr="001619AC">
              <w:rPr>
                <w:rFonts w:ascii="Arial Narrow" w:hAnsi="Arial Narrow" w:cs="Arial Narrow"/>
                <w:b/>
                <w:bCs/>
                <w:iCs/>
              </w:rPr>
              <w:t>Department / Entity</w:t>
            </w:r>
            <w:r w:rsidRPr="001619AC">
              <w:rPr>
                <w:rFonts w:ascii="Arial Narrow" w:hAnsi="Arial Narrow" w:cs="Arial Narrow"/>
                <w:b/>
                <w:bCs/>
                <w:iCs/>
              </w:rPr>
              <w:t xml:space="preserve"> [with mitigating measures to submission]</w:t>
            </w:r>
          </w:p>
        </w:tc>
      </w:tr>
      <w:tr w:rsidR="008E0B97" w:rsidRPr="001619AC" w14:paraId="67414511" w14:textId="77777777" w:rsidTr="000F7DFB">
        <w:tc>
          <w:tcPr>
            <w:tcW w:w="14034" w:type="dxa"/>
            <w:gridSpan w:val="2"/>
          </w:tcPr>
          <w:p w14:paraId="4F3960BE" w14:textId="0ADEBE1A" w:rsidR="008E0B97" w:rsidRPr="001619AC" w:rsidRDefault="001538B0" w:rsidP="000F7DFB">
            <w:pPr>
              <w:jc w:val="left"/>
              <w:rPr>
                <w:rFonts w:ascii="Arial Narrow" w:hAnsi="Arial Narrow" w:cs="Arial"/>
                <w:bCs/>
              </w:rPr>
            </w:pPr>
            <w:r>
              <w:rPr>
                <w:rFonts w:ascii="Arial Narrow" w:hAnsi="Arial Narrow" w:cs="Arial"/>
              </w:rPr>
              <w:t xml:space="preserve">The </w:t>
            </w:r>
            <w:r w:rsidR="00263692">
              <w:rPr>
                <w:rFonts w:ascii="Arial Narrow" w:hAnsi="Arial Narrow" w:cs="Arial"/>
              </w:rPr>
              <w:t xml:space="preserve">Portfolio Committee has received </w:t>
            </w:r>
            <w:r w:rsidR="00B309AF">
              <w:rPr>
                <w:rFonts w:ascii="Arial Narrow" w:hAnsi="Arial Narrow" w:cs="Arial"/>
              </w:rPr>
              <w:t xml:space="preserve">all responses on resolutions </w:t>
            </w:r>
            <w:r w:rsidR="00263692">
              <w:rPr>
                <w:rFonts w:ascii="Arial Narrow" w:hAnsi="Arial Narrow" w:cs="Arial"/>
              </w:rPr>
              <w:t>f</w:t>
            </w:r>
            <w:r w:rsidR="004A0F65">
              <w:rPr>
                <w:rFonts w:ascii="Arial Narrow" w:hAnsi="Arial Narrow" w:cs="Arial"/>
              </w:rPr>
              <w:t>rom the Department</w:t>
            </w:r>
            <w:r w:rsidR="004D05FC">
              <w:rPr>
                <w:rFonts w:ascii="Arial Narrow" w:hAnsi="Arial Narrow" w:cs="Arial"/>
              </w:rPr>
              <w:t>.</w:t>
            </w:r>
            <w:r w:rsidR="004A0F65">
              <w:rPr>
                <w:rFonts w:ascii="Arial Narrow" w:hAnsi="Arial Narrow" w:cs="Arial"/>
              </w:rPr>
              <w:t xml:space="preserve"> </w:t>
            </w:r>
          </w:p>
        </w:tc>
      </w:tr>
    </w:tbl>
    <w:p w14:paraId="7062B1F7" w14:textId="16A8C85D" w:rsidR="008E0B97" w:rsidRPr="001619AC" w:rsidRDefault="008E0B97" w:rsidP="00A203BF">
      <w:pPr>
        <w:spacing w:after="200" w:line="240"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D74068" w14:paraId="46AD2E2D" w14:textId="77777777" w:rsidTr="008E0B97">
        <w:tc>
          <w:tcPr>
            <w:tcW w:w="14034" w:type="dxa"/>
            <w:gridSpan w:val="2"/>
            <w:shd w:val="clear" w:color="auto" w:fill="D6E3BC" w:themeFill="accent3" w:themeFillTint="66"/>
          </w:tcPr>
          <w:p w14:paraId="567E4F18" w14:textId="4F0CFC61" w:rsidR="008E0B97" w:rsidRPr="00D74068" w:rsidRDefault="00600AFA" w:rsidP="00600AFA">
            <w:pPr>
              <w:rPr>
                <w:rFonts w:ascii="Arial Narrow" w:hAnsi="Arial Narrow"/>
                <w:b/>
              </w:rPr>
            </w:pPr>
            <w:r w:rsidRPr="00D74068">
              <w:rPr>
                <w:rFonts w:ascii="Arial Narrow" w:hAnsi="Arial Narrow"/>
                <w:b/>
              </w:rPr>
              <w:t xml:space="preserve">5.2 </w:t>
            </w:r>
            <w:r w:rsidR="008E0B97" w:rsidRPr="00D74068">
              <w:rPr>
                <w:rFonts w:ascii="Arial Narrow" w:hAnsi="Arial Narrow"/>
                <w:b/>
              </w:rPr>
              <w:t xml:space="preserve">THE DETAILS ON </w:t>
            </w:r>
            <w:r w:rsidR="00D74068" w:rsidRPr="00D74068">
              <w:rPr>
                <w:rFonts w:ascii="Arial Narrow" w:hAnsi="Arial Narrow"/>
                <w:b/>
              </w:rPr>
              <w:t>DEPARTMENT / ENTITY</w:t>
            </w:r>
            <w:r w:rsidR="00035362" w:rsidRPr="00D74068">
              <w:rPr>
                <w:rFonts w:ascii="Arial Narrow" w:hAnsi="Arial Narrow"/>
                <w:b/>
              </w:rPr>
              <w:t xml:space="preserve"> </w:t>
            </w:r>
            <w:r w:rsidR="008E0B97" w:rsidRPr="00D74068">
              <w:rPr>
                <w:rFonts w:ascii="Arial Narrow" w:hAnsi="Arial Narrow"/>
                <w:b/>
              </w:rPr>
              <w:t>PETITIONS MANAGEMENT</w:t>
            </w:r>
          </w:p>
        </w:tc>
      </w:tr>
      <w:tr w:rsidR="008E0B97" w:rsidRPr="00D74068" w14:paraId="210BB6B7" w14:textId="77777777" w:rsidTr="008E0B97">
        <w:tc>
          <w:tcPr>
            <w:tcW w:w="6944" w:type="dxa"/>
            <w:shd w:val="clear" w:color="auto" w:fill="D9D9D9" w:themeFill="background1" w:themeFillShade="D9"/>
          </w:tcPr>
          <w:p w14:paraId="7CD141BF" w14:textId="4F2AF61F" w:rsidR="008E0B97" w:rsidRPr="00D74068" w:rsidRDefault="008E0B97" w:rsidP="000F7DFB">
            <w:pPr>
              <w:jc w:val="left"/>
              <w:rPr>
                <w:rFonts w:ascii="Arial Narrow" w:hAnsi="Arial Narrow" w:cs="Arial Narrow"/>
                <w:b/>
                <w:bCs/>
                <w:iCs/>
              </w:rPr>
            </w:pPr>
            <w:r w:rsidRPr="00D74068">
              <w:rPr>
                <w:rFonts w:ascii="Arial Narrow" w:hAnsi="Arial Narrow" w:cs="Arial Narrow"/>
                <w:b/>
                <w:bCs/>
                <w:iCs/>
              </w:rPr>
              <w:t xml:space="preserve">How many Responses / Actions to Petitions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02D42E95" w14:textId="74347964" w:rsidR="008E0B97" w:rsidRPr="00D74068" w:rsidRDefault="008E0B97" w:rsidP="000F7DFB">
            <w:pPr>
              <w:jc w:val="left"/>
              <w:rPr>
                <w:rFonts w:ascii="Arial Narrow" w:hAnsi="Arial Narrow" w:cs="Arial Narrow"/>
                <w:b/>
                <w:bCs/>
                <w:iCs/>
              </w:rPr>
            </w:pPr>
            <w:r w:rsidRPr="00D74068">
              <w:rPr>
                <w:rFonts w:ascii="Arial Narrow" w:hAnsi="Arial Narrow" w:cs="Arial Narrow"/>
                <w:b/>
                <w:bCs/>
                <w:iCs/>
              </w:rPr>
              <w:t xml:space="preserve">With respect to any and all Petitions that were due in the Quarter under review, how many Petitions have been successfully responded to by the </w:t>
            </w:r>
            <w:r w:rsidR="00D74068" w:rsidRPr="00D74068">
              <w:rPr>
                <w:rFonts w:ascii="Arial Narrow" w:hAnsi="Arial Narrow" w:cs="Arial Narrow"/>
                <w:b/>
                <w:bCs/>
                <w:iCs/>
              </w:rPr>
              <w:t>Department / Entity</w:t>
            </w:r>
          </w:p>
        </w:tc>
      </w:tr>
      <w:tr w:rsidR="008E0B97" w:rsidRPr="006C3E18" w14:paraId="064FAD46" w14:textId="77777777" w:rsidTr="000F7DFB">
        <w:tc>
          <w:tcPr>
            <w:tcW w:w="6944" w:type="dxa"/>
            <w:shd w:val="clear" w:color="auto" w:fill="auto"/>
          </w:tcPr>
          <w:p w14:paraId="596D40E1" w14:textId="795E2C1A" w:rsidR="008E0B97" w:rsidRPr="006C3E18" w:rsidRDefault="0098247F" w:rsidP="00A203BF">
            <w:pPr>
              <w:spacing w:line="276" w:lineRule="auto"/>
              <w:jc w:val="left"/>
              <w:rPr>
                <w:rFonts w:ascii="Arial Narrow" w:hAnsi="Arial Narrow" w:cs="Arial"/>
                <w:iCs/>
                <w:highlight w:val="yellow"/>
              </w:rPr>
            </w:pPr>
            <w:r w:rsidRPr="0098247F">
              <w:rPr>
                <w:rFonts w:ascii="Arial Narrow" w:hAnsi="Arial Narrow" w:cs="Arial"/>
                <w:iCs/>
              </w:rPr>
              <w:t>The Department did not report on Petitions Management</w:t>
            </w:r>
          </w:p>
        </w:tc>
        <w:tc>
          <w:tcPr>
            <w:tcW w:w="7090" w:type="dxa"/>
            <w:shd w:val="clear" w:color="auto" w:fill="auto"/>
          </w:tcPr>
          <w:p w14:paraId="4F5EE3A2" w14:textId="5F8963A2" w:rsidR="008E0B97" w:rsidRPr="006C3E18" w:rsidRDefault="008E0B97" w:rsidP="000F7DFB">
            <w:pPr>
              <w:jc w:val="left"/>
              <w:rPr>
                <w:rFonts w:ascii="Arial Narrow" w:hAnsi="Arial Narrow" w:cs="Arial"/>
                <w:iCs/>
                <w:highlight w:val="yellow"/>
              </w:rPr>
            </w:pPr>
          </w:p>
        </w:tc>
      </w:tr>
      <w:tr w:rsidR="008E0B97" w:rsidRPr="006C3E18" w14:paraId="3E96745C" w14:textId="77777777" w:rsidTr="008E0B97">
        <w:tc>
          <w:tcPr>
            <w:tcW w:w="14034" w:type="dxa"/>
            <w:gridSpan w:val="2"/>
            <w:shd w:val="clear" w:color="auto" w:fill="D9D9D9" w:themeFill="background1" w:themeFillShade="D9"/>
          </w:tcPr>
          <w:p w14:paraId="39B70DBA" w14:textId="59CC27BA" w:rsidR="008E0B97" w:rsidRPr="006C3E18" w:rsidRDefault="008E0B97" w:rsidP="000F7DFB">
            <w:pPr>
              <w:jc w:val="left"/>
              <w:rPr>
                <w:rFonts w:ascii="Arial Narrow" w:hAnsi="Arial Narrow" w:cs="Arial Narrow"/>
                <w:b/>
                <w:bCs/>
                <w:iCs/>
              </w:rPr>
            </w:pPr>
            <w:r w:rsidRPr="006C3E18">
              <w:rPr>
                <w:rFonts w:ascii="Arial Narrow" w:hAnsi="Arial Narrow" w:cs="Arial Narrow"/>
                <w:b/>
                <w:bCs/>
                <w:iCs/>
              </w:rPr>
              <w:t xml:space="preserve">What is the Committees perception of the Quality and Timeliness of </w:t>
            </w:r>
            <w:r w:rsidR="00D74068" w:rsidRPr="006C3E18">
              <w:rPr>
                <w:rFonts w:ascii="Arial Narrow" w:hAnsi="Arial Narrow" w:cs="Arial Narrow"/>
                <w:b/>
                <w:bCs/>
                <w:iCs/>
              </w:rPr>
              <w:t>Department / Entity</w:t>
            </w:r>
            <w:r w:rsidRPr="006C3E18">
              <w:rPr>
                <w:rFonts w:ascii="Arial Narrow" w:hAnsi="Arial Narrow" w:cs="Arial Narrow"/>
                <w:b/>
                <w:bCs/>
                <w:iCs/>
              </w:rPr>
              <w:t xml:space="preserve"> responses to referred Petitions</w:t>
            </w:r>
          </w:p>
        </w:tc>
      </w:tr>
      <w:tr w:rsidR="008E0B97" w:rsidRPr="006C3E18" w14:paraId="28E9A779" w14:textId="77777777" w:rsidTr="000F7DFB">
        <w:tc>
          <w:tcPr>
            <w:tcW w:w="14034" w:type="dxa"/>
            <w:gridSpan w:val="2"/>
          </w:tcPr>
          <w:p w14:paraId="2CFAB475" w14:textId="6D388C23" w:rsidR="008E0B97" w:rsidRPr="006C3E18" w:rsidRDefault="008D387F" w:rsidP="000F7DFB">
            <w:pPr>
              <w:jc w:val="left"/>
              <w:rPr>
                <w:rFonts w:ascii="Arial Narrow" w:hAnsi="Arial Narrow" w:cs="Arial"/>
                <w:bCs/>
                <w:highlight w:val="yellow"/>
              </w:rPr>
            </w:pPr>
            <w:r w:rsidRPr="008D387F">
              <w:rPr>
                <w:rFonts w:ascii="Arial Narrow" w:hAnsi="Arial Narrow" w:cs="Arial"/>
                <w:bCs/>
              </w:rPr>
              <w:t>The Department did not report on Petitions Management</w:t>
            </w:r>
          </w:p>
        </w:tc>
      </w:tr>
      <w:tr w:rsidR="008E0B97" w:rsidRPr="006C3E18" w14:paraId="4725D504" w14:textId="77777777" w:rsidTr="008E0B97">
        <w:tc>
          <w:tcPr>
            <w:tcW w:w="14034" w:type="dxa"/>
            <w:gridSpan w:val="2"/>
            <w:shd w:val="clear" w:color="auto" w:fill="D9D9D9" w:themeFill="background1" w:themeFillShade="D9"/>
          </w:tcPr>
          <w:p w14:paraId="26CAA4ED" w14:textId="04FD4DEA" w:rsidR="008E0B97" w:rsidRPr="006C3E18" w:rsidRDefault="008E0B97" w:rsidP="000F7DFB">
            <w:pPr>
              <w:jc w:val="left"/>
              <w:rPr>
                <w:rFonts w:ascii="Arial Narrow" w:hAnsi="Arial Narrow" w:cs="Arial Narrow"/>
                <w:b/>
                <w:bCs/>
              </w:rPr>
            </w:pPr>
            <w:r w:rsidRPr="006C3E18">
              <w:rPr>
                <w:rFonts w:ascii="Arial Narrow" w:hAnsi="Arial Narrow" w:cs="Arial Narrow"/>
                <w:b/>
                <w:bCs/>
                <w:iCs/>
              </w:rPr>
              <w:t xml:space="preserve">With respect to the Petitions / Action due during the Quarter under review but not yet responded to by the </w:t>
            </w:r>
            <w:r w:rsidR="00D74068" w:rsidRPr="006C3E18">
              <w:rPr>
                <w:rFonts w:ascii="Arial Narrow" w:hAnsi="Arial Narrow" w:cs="Arial Narrow"/>
                <w:b/>
                <w:bCs/>
                <w:iCs/>
              </w:rPr>
              <w:t>Department / Entity</w:t>
            </w:r>
            <w:r w:rsidRPr="006C3E18">
              <w:rPr>
                <w:rFonts w:ascii="Arial Narrow" w:hAnsi="Arial Narrow" w:cs="Arial Narrow"/>
                <w:b/>
                <w:bCs/>
                <w:iCs/>
              </w:rPr>
              <w:t xml:space="preserve">, what reasons have been provided by the </w:t>
            </w:r>
            <w:r w:rsidR="00D74068" w:rsidRPr="006C3E18">
              <w:rPr>
                <w:rFonts w:ascii="Arial Narrow" w:hAnsi="Arial Narrow" w:cs="Arial Narrow"/>
                <w:b/>
                <w:bCs/>
                <w:iCs/>
              </w:rPr>
              <w:t>Department / Entity</w:t>
            </w:r>
            <w:r w:rsidRPr="006C3E18">
              <w:rPr>
                <w:rFonts w:ascii="Arial Narrow" w:hAnsi="Arial Narrow" w:cs="Arial Narrow"/>
                <w:b/>
                <w:bCs/>
                <w:iCs/>
              </w:rPr>
              <w:t xml:space="preserve"> [with mitigating measures to submission]</w:t>
            </w:r>
          </w:p>
        </w:tc>
      </w:tr>
      <w:tr w:rsidR="008E0B97" w:rsidRPr="006C3E18" w14:paraId="22220884" w14:textId="77777777" w:rsidTr="000F7DFB">
        <w:tc>
          <w:tcPr>
            <w:tcW w:w="14034" w:type="dxa"/>
            <w:gridSpan w:val="2"/>
          </w:tcPr>
          <w:p w14:paraId="1169C7C8" w14:textId="7592158F" w:rsidR="008E0B97" w:rsidRPr="006C3E18" w:rsidRDefault="008D387F" w:rsidP="00061E69">
            <w:pPr>
              <w:tabs>
                <w:tab w:val="left" w:pos="796"/>
              </w:tabs>
              <w:jc w:val="left"/>
              <w:rPr>
                <w:rFonts w:ascii="Arial Narrow" w:hAnsi="Arial Narrow" w:cs="Arial"/>
                <w:bCs/>
              </w:rPr>
            </w:pPr>
            <w:r w:rsidRPr="008D387F">
              <w:rPr>
                <w:rFonts w:ascii="Arial Narrow" w:hAnsi="Arial Narrow" w:cs="Arial"/>
                <w:bCs/>
              </w:rPr>
              <w:t>The Department did not report on Petitions Management</w:t>
            </w:r>
          </w:p>
        </w:tc>
      </w:tr>
    </w:tbl>
    <w:p w14:paraId="3A021D71" w14:textId="3DFD22A3" w:rsidR="00B839BB" w:rsidRPr="006C3E18" w:rsidRDefault="00B839BB" w:rsidP="00B839BB">
      <w:pPr>
        <w:pStyle w:val="Heading1"/>
        <w:shd w:val="clear" w:color="auto" w:fill="D9D9D9" w:themeFill="background1" w:themeFillShade="D9"/>
        <w:rPr>
          <w:rFonts w:ascii="Arial Narrow" w:hAnsi="Arial Narrow"/>
          <w:color w:val="auto"/>
          <w:sz w:val="22"/>
          <w:szCs w:val="22"/>
        </w:rPr>
      </w:pPr>
      <w:bookmarkStart w:id="17" w:name="_Toc50576916"/>
      <w:r w:rsidRPr="006C3E18">
        <w:rPr>
          <w:rFonts w:ascii="Arial Narrow" w:hAnsi="Arial Narrow"/>
          <w:color w:val="auto"/>
          <w:sz w:val="22"/>
          <w:szCs w:val="22"/>
        </w:rPr>
        <w:t>6</w:t>
      </w:r>
      <w:r w:rsidR="00AF23BE">
        <w:rPr>
          <w:rFonts w:ascii="Arial Narrow" w:hAnsi="Arial Narrow"/>
          <w:color w:val="auto"/>
          <w:sz w:val="22"/>
          <w:szCs w:val="22"/>
        </w:rPr>
        <w:t>.</w:t>
      </w:r>
      <w:r w:rsidRPr="006C3E18">
        <w:rPr>
          <w:rFonts w:ascii="Arial Narrow" w:hAnsi="Arial Narrow"/>
          <w:color w:val="auto"/>
          <w:sz w:val="22"/>
          <w:szCs w:val="22"/>
        </w:rPr>
        <w:tab/>
        <w:t xml:space="preserve">OVERSIGHT ON </w:t>
      </w:r>
      <w:r w:rsidR="00D74068" w:rsidRPr="006C3E18">
        <w:rPr>
          <w:rFonts w:ascii="Arial Narrow" w:hAnsi="Arial Narrow"/>
          <w:color w:val="auto"/>
          <w:sz w:val="22"/>
          <w:szCs w:val="22"/>
        </w:rPr>
        <w:t>DEPARTMENT / ENTITY</w:t>
      </w:r>
      <w:r w:rsidRPr="006C3E18">
        <w:rPr>
          <w:rFonts w:ascii="Arial Narrow" w:hAnsi="Arial Narrow"/>
          <w:color w:val="auto"/>
          <w:sz w:val="22"/>
          <w:szCs w:val="22"/>
        </w:rPr>
        <w:t xml:space="preserve"> PUBLIC ENGAGEMENT</w:t>
      </w:r>
      <w:bookmarkEnd w:id="17"/>
    </w:p>
    <w:p w14:paraId="563E95B5" w14:textId="77777777" w:rsidR="00B839BB" w:rsidRPr="006C3E18" w:rsidRDefault="00B839BB" w:rsidP="00FA3D60">
      <w:pPr>
        <w:spacing w:after="200" w:line="240"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B839BB" w:rsidRPr="00D74068" w14:paraId="7B18AA80" w14:textId="77777777" w:rsidTr="00B839BB">
        <w:tc>
          <w:tcPr>
            <w:tcW w:w="14034" w:type="dxa"/>
            <w:shd w:val="clear" w:color="auto" w:fill="D6E3BC" w:themeFill="accent3" w:themeFillTint="66"/>
          </w:tcPr>
          <w:p w14:paraId="2A2C2874" w14:textId="54C5ABED" w:rsidR="00B839BB" w:rsidRPr="00D74068" w:rsidRDefault="00600AFA" w:rsidP="00600AFA">
            <w:pPr>
              <w:rPr>
                <w:rFonts w:ascii="Arial Narrow" w:hAnsi="Arial Narrow"/>
                <w:b/>
              </w:rPr>
            </w:pPr>
            <w:r w:rsidRPr="00D74068">
              <w:rPr>
                <w:rFonts w:ascii="Arial Narrow" w:hAnsi="Arial Narrow"/>
                <w:b/>
              </w:rPr>
              <w:t xml:space="preserve">6. </w:t>
            </w:r>
            <w:r w:rsidR="00B839BB" w:rsidRPr="00D74068">
              <w:rPr>
                <w:rFonts w:ascii="Arial Narrow" w:hAnsi="Arial Narrow"/>
                <w:b/>
              </w:rPr>
              <w:t xml:space="preserve">THE DETAILS ON </w:t>
            </w:r>
            <w:r w:rsidR="00D74068" w:rsidRPr="00D74068">
              <w:rPr>
                <w:rFonts w:ascii="Arial Narrow" w:hAnsi="Arial Narrow"/>
                <w:b/>
              </w:rPr>
              <w:t>DEPARTMENT / ENTITY</w:t>
            </w:r>
            <w:r w:rsidR="00B839BB" w:rsidRPr="00D74068">
              <w:rPr>
                <w:rFonts w:ascii="Arial Narrow" w:hAnsi="Arial Narrow"/>
                <w:b/>
              </w:rPr>
              <w:t xml:space="preserve"> PUBLIC ENGAGEMENTS</w:t>
            </w:r>
          </w:p>
        </w:tc>
      </w:tr>
      <w:tr w:rsidR="00B839BB" w:rsidRPr="00D74068" w14:paraId="6EB71945" w14:textId="77777777" w:rsidTr="00B839BB">
        <w:tc>
          <w:tcPr>
            <w:tcW w:w="14034" w:type="dxa"/>
            <w:shd w:val="clear" w:color="auto" w:fill="D9D9D9" w:themeFill="background1" w:themeFillShade="D9"/>
          </w:tcPr>
          <w:p w14:paraId="7C51F1D3" w14:textId="040B46F1" w:rsidR="00B839BB" w:rsidRPr="00D74068" w:rsidRDefault="00B839BB" w:rsidP="000F7DFB">
            <w:pPr>
              <w:rPr>
                <w:rFonts w:ascii="Arial Narrow" w:hAnsi="Arial Narrow"/>
                <w:b/>
              </w:rPr>
            </w:pPr>
            <w:r w:rsidRPr="00D74068">
              <w:rPr>
                <w:rFonts w:ascii="Arial Narrow" w:hAnsi="Arial Narrow"/>
                <w:b/>
              </w:rPr>
              <w:t xml:space="preserve">The steps / measures the </w:t>
            </w:r>
            <w:r w:rsidR="00D74068" w:rsidRPr="00D74068">
              <w:rPr>
                <w:rFonts w:ascii="Arial Narrow" w:hAnsi="Arial Narrow"/>
                <w:b/>
              </w:rPr>
              <w:t xml:space="preserve">Department </w:t>
            </w:r>
            <w:r w:rsidRPr="00D74068">
              <w:rPr>
                <w:rFonts w:ascii="Arial Narrow" w:hAnsi="Arial Narrow"/>
                <w:b/>
              </w:rPr>
              <w:t>has taken to meaningfully involve the public / stakeholders in the course of its work / service delivery, during the period under review</w:t>
            </w:r>
          </w:p>
        </w:tc>
      </w:tr>
      <w:tr w:rsidR="00CD35BD" w:rsidRPr="006C3E18" w14:paraId="2A37F5E3" w14:textId="77777777" w:rsidTr="000F7DFB">
        <w:tc>
          <w:tcPr>
            <w:tcW w:w="14034" w:type="dxa"/>
          </w:tcPr>
          <w:p w14:paraId="5B2C875E" w14:textId="1849D81A" w:rsidR="001F0FB5" w:rsidRPr="006C3E18" w:rsidRDefault="00E260A0" w:rsidP="00512FD0">
            <w:pPr>
              <w:spacing w:line="276" w:lineRule="auto"/>
              <w:rPr>
                <w:rFonts w:ascii="Arial Narrow" w:hAnsi="Arial Narrow" w:cs="Arial"/>
                <w:lang w:eastAsia="en-GB"/>
              </w:rPr>
            </w:pPr>
            <w:r>
              <w:rPr>
                <w:rFonts w:ascii="Arial Narrow" w:hAnsi="Arial Narrow" w:cs="Arial"/>
                <w:lang w:eastAsia="en-GB"/>
              </w:rPr>
              <w:t xml:space="preserve">The Department did not report on </w:t>
            </w:r>
            <w:r w:rsidR="004877BF">
              <w:rPr>
                <w:rFonts w:ascii="Arial Narrow" w:hAnsi="Arial Narrow" w:cs="Arial"/>
                <w:lang w:eastAsia="en-GB"/>
              </w:rPr>
              <w:t>Public Engagements</w:t>
            </w:r>
          </w:p>
          <w:p w14:paraId="01516262" w14:textId="56521955" w:rsidR="00CD35BD" w:rsidRPr="006C3E18" w:rsidRDefault="00CD35BD" w:rsidP="001F0FB5">
            <w:pPr>
              <w:spacing w:line="276" w:lineRule="auto"/>
              <w:ind w:left="720"/>
              <w:rPr>
                <w:rFonts w:ascii="Arial Narrow" w:hAnsi="Arial Narrow"/>
                <w:bCs/>
                <w:lang w:val="en-GB"/>
              </w:rPr>
            </w:pPr>
          </w:p>
        </w:tc>
      </w:tr>
      <w:tr w:rsidR="00CD35BD" w:rsidRPr="006C3E18" w14:paraId="2D265B94" w14:textId="77777777" w:rsidTr="00B839BB">
        <w:tc>
          <w:tcPr>
            <w:tcW w:w="14034" w:type="dxa"/>
            <w:shd w:val="clear" w:color="auto" w:fill="D9D9D9" w:themeFill="background1" w:themeFillShade="D9"/>
          </w:tcPr>
          <w:p w14:paraId="3FE0C65B" w14:textId="221868F4" w:rsidR="00CD35BD" w:rsidRPr="006C3E18" w:rsidRDefault="00CD35BD" w:rsidP="00CD35BD">
            <w:pPr>
              <w:rPr>
                <w:rFonts w:ascii="Arial Narrow" w:hAnsi="Arial Narrow"/>
                <w:b/>
              </w:rPr>
            </w:pPr>
            <w:r w:rsidRPr="006C3E18">
              <w:rPr>
                <w:rFonts w:ascii="Arial Narrow" w:hAnsi="Arial Narrow"/>
                <w:b/>
              </w:rPr>
              <w:t xml:space="preserve">Summary of Public Education programmes of the </w:t>
            </w:r>
            <w:r w:rsidR="00530199" w:rsidRPr="006C3E18">
              <w:rPr>
                <w:rFonts w:ascii="Arial Narrow" w:hAnsi="Arial Narrow"/>
                <w:b/>
              </w:rPr>
              <w:t xml:space="preserve">Department </w:t>
            </w:r>
            <w:r w:rsidR="00530199">
              <w:rPr>
                <w:rFonts w:ascii="Arial Narrow" w:hAnsi="Arial Narrow"/>
                <w:b/>
              </w:rPr>
              <w:t>during</w:t>
            </w:r>
            <w:r w:rsidRPr="006C3E18">
              <w:rPr>
                <w:rFonts w:ascii="Arial Narrow" w:hAnsi="Arial Narrow"/>
                <w:b/>
              </w:rPr>
              <w:t xml:space="preserve"> the period under review</w:t>
            </w:r>
          </w:p>
        </w:tc>
      </w:tr>
      <w:tr w:rsidR="00CD35BD" w:rsidRPr="006C3E18" w14:paraId="4E4622C1" w14:textId="77777777" w:rsidTr="000F7DFB">
        <w:tc>
          <w:tcPr>
            <w:tcW w:w="14034" w:type="dxa"/>
          </w:tcPr>
          <w:p w14:paraId="3393F5B6" w14:textId="261A3D00" w:rsidR="00CD35BD" w:rsidRPr="00AD7CE4" w:rsidRDefault="00CD35BD" w:rsidP="00F81DCB">
            <w:pPr>
              <w:spacing w:line="276" w:lineRule="auto"/>
              <w:rPr>
                <w:rFonts w:ascii="Arial Narrow" w:hAnsi="Arial Narrow" w:cs="Arial"/>
                <w:lang w:val="en-GB"/>
              </w:rPr>
            </w:pPr>
            <w:r w:rsidRPr="006C3E18">
              <w:rPr>
                <w:rFonts w:ascii="Arial Narrow" w:hAnsi="Arial Narrow" w:cs="Arial"/>
                <w:lang w:val="en-GB"/>
              </w:rPr>
              <w:t xml:space="preserve">The </w:t>
            </w:r>
            <w:r w:rsidR="00512FD0">
              <w:rPr>
                <w:rFonts w:ascii="Arial Narrow" w:hAnsi="Arial Narrow" w:cs="Arial"/>
                <w:lang w:val="en-GB"/>
              </w:rPr>
              <w:t xml:space="preserve">Department did not report on </w:t>
            </w:r>
            <w:r w:rsidR="008E7082">
              <w:rPr>
                <w:rFonts w:ascii="Arial Narrow" w:hAnsi="Arial Narrow" w:cs="Arial"/>
                <w:lang w:val="en-GB"/>
              </w:rPr>
              <w:t>Public Education</w:t>
            </w:r>
          </w:p>
        </w:tc>
      </w:tr>
      <w:tr w:rsidR="00CD35BD" w:rsidRPr="006C3E18" w14:paraId="479E3B9D" w14:textId="77777777" w:rsidTr="00B839BB">
        <w:tc>
          <w:tcPr>
            <w:tcW w:w="14034" w:type="dxa"/>
            <w:shd w:val="clear" w:color="auto" w:fill="D9D9D9" w:themeFill="background1" w:themeFillShade="D9"/>
          </w:tcPr>
          <w:p w14:paraId="73B02592" w14:textId="175C8715" w:rsidR="00CD35BD" w:rsidRPr="006C3E18" w:rsidRDefault="00CD35BD" w:rsidP="00CD35BD">
            <w:pPr>
              <w:rPr>
                <w:rFonts w:ascii="Arial Narrow" w:hAnsi="Arial Narrow"/>
                <w:b/>
              </w:rPr>
            </w:pPr>
            <w:r w:rsidRPr="006C3E18">
              <w:rPr>
                <w:rFonts w:ascii="Arial Narrow" w:hAnsi="Arial Narrow"/>
                <w:b/>
              </w:rPr>
              <w:t xml:space="preserve">Feedback sessions conducted by the </w:t>
            </w:r>
            <w:r w:rsidR="00530199" w:rsidRPr="006C3E18">
              <w:rPr>
                <w:rFonts w:ascii="Arial Narrow" w:hAnsi="Arial Narrow"/>
                <w:b/>
              </w:rPr>
              <w:t xml:space="preserve">Department </w:t>
            </w:r>
            <w:r w:rsidR="00530199">
              <w:rPr>
                <w:rFonts w:ascii="Arial Narrow" w:hAnsi="Arial Narrow"/>
                <w:b/>
              </w:rPr>
              <w:t>during</w:t>
            </w:r>
            <w:r w:rsidRPr="006C3E18">
              <w:rPr>
                <w:rFonts w:ascii="Arial Narrow" w:hAnsi="Arial Narrow"/>
                <w:b/>
              </w:rPr>
              <w:t xml:space="preserve"> the period under review</w:t>
            </w:r>
          </w:p>
        </w:tc>
      </w:tr>
      <w:tr w:rsidR="00CD35BD" w:rsidRPr="006C3E18" w14:paraId="6F0EDA71" w14:textId="77777777" w:rsidTr="000F7DFB">
        <w:tc>
          <w:tcPr>
            <w:tcW w:w="14034" w:type="dxa"/>
          </w:tcPr>
          <w:p w14:paraId="1C61CD54" w14:textId="539DBF3D" w:rsidR="00CD35BD" w:rsidRPr="00AD7CE4" w:rsidRDefault="008E7082" w:rsidP="00F81DCB">
            <w:pPr>
              <w:spacing w:line="276" w:lineRule="auto"/>
              <w:rPr>
                <w:rFonts w:ascii="Arial Narrow" w:hAnsi="Arial Narrow"/>
                <w:lang w:val="en-GB"/>
              </w:rPr>
            </w:pPr>
            <w:r>
              <w:rPr>
                <w:rFonts w:ascii="Arial Narrow" w:hAnsi="Arial Narrow"/>
                <w:lang w:val="en-GB"/>
              </w:rPr>
              <w:t xml:space="preserve">The Department did not report on Feedback sessions </w:t>
            </w:r>
          </w:p>
        </w:tc>
      </w:tr>
    </w:tbl>
    <w:p w14:paraId="1C4A7426" w14:textId="33269D29" w:rsidR="00DD4DD9" w:rsidRPr="006C3E18" w:rsidRDefault="00DD4DD9" w:rsidP="00DD4DD9">
      <w:pPr>
        <w:pStyle w:val="Heading1"/>
        <w:shd w:val="clear" w:color="auto" w:fill="D9D9D9" w:themeFill="background1" w:themeFillShade="D9"/>
        <w:rPr>
          <w:rFonts w:ascii="Arial Narrow" w:hAnsi="Arial Narrow"/>
          <w:color w:val="auto"/>
          <w:sz w:val="22"/>
          <w:szCs w:val="22"/>
        </w:rPr>
      </w:pPr>
      <w:bookmarkStart w:id="18" w:name="_Toc50576917"/>
      <w:r w:rsidRPr="006C3E18">
        <w:rPr>
          <w:rFonts w:ascii="Arial Narrow" w:hAnsi="Arial Narrow"/>
          <w:color w:val="auto"/>
          <w:sz w:val="22"/>
          <w:szCs w:val="22"/>
        </w:rPr>
        <w:t>7</w:t>
      </w:r>
      <w:r w:rsidR="00AF23BE">
        <w:rPr>
          <w:rFonts w:ascii="Arial Narrow" w:hAnsi="Arial Narrow"/>
          <w:color w:val="auto"/>
          <w:sz w:val="22"/>
          <w:szCs w:val="22"/>
        </w:rPr>
        <w:t>.</w:t>
      </w:r>
      <w:r w:rsidRPr="006C3E18">
        <w:rPr>
          <w:rFonts w:ascii="Arial Narrow" w:hAnsi="Arial Narrow"/>
          <w:color w:val="auto"/>
          <w:sz w:val="22"/>
          <w:szCs w:val="22"/>
        </w:rPr>
        <w:tab/>
        <w:t xml:space="preserve">OVERSIGHT ON </w:t>
      </w:r>
      <w:r w:rsidR="00B23D68" w:rsidRPr="006C3E18">
        <w:rPr>
          <w:rFonts w:ascii="Arial Narrow" w:hAnsi="Arial Narrow"/>
          <w:color w:val="auto"/>
          <w:sz w:val="22"/>
          <w:szCs w:val="22"/>
        </w:rPr>
        <w:t>INTERNATIONAL TREATISE / AGREEMENTS</w:t>
      </w:r>
      <w:bookmarkEnd w:id="18"/>
    </w:p>
    <w:tbl>
      <w:tblPr>
        <w:tblStyle w:val="TableGrid"/>
        <w:tblW w:w="13887" w:type="dxa"/>
        <w:tblLayout w:type="fixed"/>
        <w:tblLook w:val="04A0" w:firstRow="1" w:lastRow="0" w:firstColumn="1" w:lastColumn="0" w:noHBand="0" w:noVBand="1"/>
      </w:tblPr>
      <w:tblGrid>
        <w:gridCol w:w="13887"/>
      </w:tblGrid>
      <w:tr w:rsidR="00B23D68" w:rsidRPr="006C3E18" w14:paraId="26EBB0AE" w14:textId="77777777" w:rsidTr="00E25568">
        <w:trPr>
          <w:tblHeader/>
        </w:trPr>
        <w:tc>
          <w:tcPr>
            <w:tcW w:w="13887" w:type="dxa"/>
            <w:shd w:val="clear" w:color="auto" w:fill="D6E3BC" w:themeFill="accent3" w:themeFillTint="66"/>
          </w:tcPr>
          <w:p w14:paraId="1285827D" w14:textId="5FAD4A28" w:rsidR="00B23D68" w:rsidRPr="006C3E18" w:rsidRDefault="00600AFA" w:rsidP="000F7DFB">
            <w:pPr>
              <w:rPr>
                <w:rFonts w:ascii="Arial Narrow" w:hAnsi="Arial Narrow" w:cs="Arial"/>
                <w:b/>
                <w:bCs/>
                <w:lang w:val="en-US"/>
              </w:rPr>
            </w:pPr>
            <w:r w:rsidRPr="006C3E18">
              <w:rPr>
                <w:rFonts w:ascii="Arial Narrow" w:hAnsi="Arial Narrow" w:cs="Arial"/>
                <w:b/>
                <w:bCs/>
                <w:lang w:val="en-US"/>
              </w:rPr>
              <w:t xml:space="preserve">7. </w:t>
            </w:r>
            <w:r w:rsidR="00B23D68" w:rsidRPr="006C3E18">
              <w:rPr>
                <w:rFonts w:ascii="Arial Narrow" w:hAnsi="Arial Narrow" w:cs="Arial"/>
                <w:b/>
                <w:bCs/>
                <w:lang w:val="en-US"/>
              </w:rPr>
              <w:t>DETAILS ON IMPLEMENTATION OF INTERNATIONAL AGREEMENTS / TREATIES [</w:t>
            </w:r>
            <w:r w:rsidR="00B23D68" w:rsidRPr="00FD6BD8">
              <w:rPr>
                <w:rFonts w:ascii="Arial Narrow" w:hAnsi="Arial Narrow" w:cs="Arial"/>
                <w:b/>
                <w:bCs/>
                <w:lang w:val="en-US"/>
              </w:rPr>
              <w:t xml:space="preserve">Applicable only to OCPOL / </w:t>
            </w:r>
            <w:proofErr w:type="spellStart"/>
            <w:r w:rsidR="00B23D68" w:rsidRPr="00FD6BD8">
              <w:rPr>
                <w:rFonts w:ascii="Arial Narrow" w:hAnsi="Arial Narrow" w:cs="Arial"/>
                <w:b/>
                <w:bCs/>
                <w:lang w:val="en-US"/>
              </w:rPr>
              <w:t>OoP</w:t>
            </w:r>
            <w:proofErr w:type="spellEnd"/>
            <w:r w:rsidR="00B23D68" w:rsidRPr="00FD6BD8">
              <w:rPr>
                <w:rFonts w:ascii="Arial Narrow" w:hAnsi="Arial Narrow" w:cs="Arial"/>
                <w:b/>
                <w:bCs/>
                <w:lang w:val="en-US"/>
              </w:rPr>
              <w:t>]</w:t>
            </w:r>
          </w:p>
        </w:tc>
      </w:tr>
      <w:tr w:rsidR="00B23D68" w:rsidRPr="006C3E18" w14:paraId="3EE40366" w14:textId="77777777" w:rsidTr="00E25568">
        <w:tblPrEx>
          <w:jc w:val="center"/>
        </w:tblPrEx>
        <w:trPr>
          <w:trHeight w:val="70"/>
          <w:jc w:val="center"/>
        </w:trPr>
        <w:tc>
          <w:tcPr>
            <w:tcW w:w="13887" w:type="dxa"/>
            <w:shd w:val="clear" w:color="auto" w:fill="auto"/>
          </w:tcPr>
          <w:p w14:paraId="62D2751F" w14:textId="7CD5777F" w:rsidR="00B23D68" w:rsidRPr="006C3E18" w:rsidRDefault="004C6A38" w:rsidP="006144E1">
            <w:pPr>
              <w:rPr>
                <w:rFonts w:ascii="Arial Narrow" w:hAnsi="Arial Narrow" w:cs="Arial"/>
              </w:rPr>
            </w:pPr>
            <w:r w:rsidRPr="006C3E18">
              <w:rPr>
                <w:rFonts w:ascii="Arial Narrow" w:hAnsi="Arial Narrow" w:cs="Arial"/>
              </w:rPr>
              <w:t>The Department did not report anything on this line item</w:t>
            </w:r>
          </w:p>
        </w:tc>
      </w:tr>
    </w:tbl>
    <w:p w14:paraId="5AEF6D28" w14:textId="6B67EE7B" w:rsidR="00B23D68" w:rsidRPr="006C3E18" w:rsidRDefault="00B23D68" w:rsidP="00B23D68">
      <w:pPr>
        <w:pStyle w:val="Heading1"/>
        <w:shd w:val="clear" w:color="auto" w:fill="D9D9D9" w:themeFill="background1" w:themeFillShade="D9"/>
        <w:rPr>
          <w:rFonts w:ascii="Arial Narrow" w:hAnsi="Arial Narrow"/>
          <w:color w:val="auto"/>
          <w:sz w:val="22"/>
          <w:szCs w:val="22"/>
        </w:rPr>
      </w:pPr>
      <w:bookmarkStart w:id="19" w:name="_Toc50576918"/>
      <w:r w:rsidRPr="006C3E18">
        <w:rPr>
          <w:rFonts w:ascii="Arial Narrow" w:hAnsi="Arial Narrow"/>
          <w:color w:val="auto"/>
          <w:sz w:val="22"/>
          <w:szCs w:val="22"/>
        </w:rPr>
        <w:t>8</w:t>
      </w:r>
      <w:r w:rsidR="00AF23BE">
        <w:rPr>
          <w:rFonts w:ascii="Arial Narrow" w:hAnsi="Arial Narrow"/>
          <w:color w:val="auto"/>
          <w:sz w:val="22"/>
          <w:szCs w:val="22"/>
        </w:rPr>
        <w:t>.</w:t>
      </w:r>
      <w:r w:rsidRPr="006C3E18">
        <w:rPr>
          <w:rFonts w:ascii="Arial Narrow" w:hAnsi="Arial Narrow"/>
          <w:color w:val="auto"/>
          <w:sz w:val="22"/>
          <w:szCs w:val="22"/>
        </w:rPr>
        <w:tab/>
        <w:t xml:space="preserve">OVERSIGHT ON </w:t>
      </w:r>
      <w:r w:rsidR="00D74068" w:rsidRPr="006C3E18">
        <w:rPr>
          <w:rFonts w:ascii="Arial Narrow" w:hAnsi="Arial Narrow"/>
          <w:color w:val="auto"/>
          <w:sz w:val="22"/>
          <w:szCs w:val="22"/>
        </w:rPr>
        <w:t>DEPARTMENT / ENTITY</w:t>
      </w:r>
      <w:r w:rsidRPr="006C3E18">
        <w:rPr>
          <w:rFonts w:ascii="Arial Narrow" w:hAnsi="Arial Narrow"/>
          <w:color w:val="auto"/>
          <w:sz w:val="22"/>
          <w:szCs w:val="22"/>
        </w:rPr>
        <w:t xml:space="preserve"> GEYODI EMPOWERMENT</w:t>
      </w:r>
      <w:bookmarkEnd w:id="19"/>
    </w:p>
    <w:tbl>
      <w:tblPr>
        <w:tblStyle w:val="TableGrid"/>
        <w:tblW w:w="13892" w:type="dxa"/>
        <w:tblInd w:w="-5" w:type="dxa"/>
        <w:tblLook w:val="04A0" w:firstRow="1" w:lastRow="0" w:firstColumn="1" w:lastColumn="0" w:noHBand="0" w:noVBand="1"/>
      </w:tblPr>
      <w:tblGrid>
        <w:gridCol w:w="13892"/>
      </w:tblGrid>
      <w:tr w:rsidR="00B23D68" w:rsidRPr="006C3E18" w14:paraId="32ECA434" w14:textId="77777777" w:rsidTr="004310BD">
        <w:trPr>
          <w:tblHeader/>
        </w:trPr>
        <w:tc>
          <w:tcPr>
            <w:tcW w:w="13892" w:type="dxa"/>
            <w:shd w:val="clear" w:color="auto" w:fill="D6E3BC" w:themeFill="accent3" w:themeFillTint="66"/>
          </w:tcPr>
          <w:p w14:paraId="7FB08BB5" w14:textId="4AF92941" w:rsidR="00B23D68" w:rsidRPr="006C3E18" w:rsidRDefault="00600AFA" w:rsidP="000F7DFB">
            <w:pPr>
              <w:rPr>
                <w:rFonts w:ascii="Arial Narrow" w:hAnsi="Arial Narrow" w:cs="Arial"/>
                <w:b/>
                <w:bCs/>
                <w:lang w:val="en-US"/>
              </w:rPr>
            </w:pPr>
            <w:r w:rsidRPr="006C3E18">
              <w:rPr>
                <w:rFonts w:ascii="Arial Narrow" w:hAnsi="Arial Narrow" w:cs="Arial"/>
                <w:b/>
                <w:bCs/>
                <w:lang w:val="en-US"/>
              </w:rPr>
              <w:t xml:space="preserve">8. </w:t>
            </w:r>
            <w:r w:rsidR="00B23D68" w:rsidRPr="006C3E18">
              <w:rPr>
                <w:rFonts w:ascii="Arial Narrow" w:hAnsi="Arial Narrow" w:cs="Arial"/>
                <w:b/>
                <w:bCs/>
                <w:lang w:val="en-US"/>
              </w:rPr>
              <w:t xml:space="preserve">DETAILS ON </w:t>
            </w:r>
            <w:r w:rsidR="00D74068" w:rsidRPr="006C3E18">
              <w:rPr>
                <w:rFonts w:ascii="Arial Narrow" w:hAnsi="Arial Narrow" w:cs="Arial"/>
                <w:b/>
                <w:bCs/>
                <w:lang w:val="en-US"/>
              </w:rPr>
              <w:t>DEPARTMENT / ENTITY</w:t>
            </w:r>
            <w:r w:rsidR="00B23D68" w:rsidRPr="006C3E18">
              <w:rPr>
                <w:rFonts w:ascii="Arial Narrow" w:hAnsi="Arial Narrow" w:cs="Arial"/>
                <w:b/>
                <w:bCs/>
                <w:lang w:val="en-US"/>
              </w:rPr>
              <w:t xml:space="preserve"> GEYODI EMPOWERMENT</w:t>
            </w:r>
          </w:p>
        </w:tc>
      </w:tr>
      <w:tr w:rsidR="006C3E18" w:rsidRPr="006C3E18" w14:paraId="0BDDDBC1" w14:textId="77777777" w:rsidTr="004310BD">
        <w:tblPrEx>
          <w:jc w:val="center"/>
          <w:tblInd w:w="0" w:type="dxa"/>
        </w:tblPrEx>
        <w:trPr>
          <w:trHeight w:val="70"/>
          <w:jc w:val="center"/>
        </w:trPr>
        <w:tc>
          <w:tcPr>
            <w:tcW w:w="13892" w:type="dxa"/>
            <w:shd w:val="clear" w:color="auto" w:fill="auto"/>
          </w:tcPr>
          <w:p w14:paraId="49AFDCC2" w14:textId="23CB1C30" w:rsidR="00E80743" w:rsidRDefault="00E80743" w:rsidP="005A2C3F">
            <w:pPr>
              <w:spacing w:line="276" w:lineRule="auto"/>
              <w:rPr>
                <w:rFonts w:ascii="Arial Narrow" w:hAnsi="Arial Narrow" w:cs="Arial"/>
                <w:bCs/>
              </w:rPr>
            </w:pPr>
            <w:r>
              <w:rPr>
                <w:rFonts w:ascii="Arial Narrow" w:hAnsi="Arial Narrow" w:cs="Arial"/>
                <w:bCs/>
              </w:rPr>
              <w:t xml:space="preserve">The Department </w:t>
            </w:r>
            <w:r w:rsidR="00162B7E">
              <w:rPr>
                <w:rFonts w:ascii="Arial Narrow" w:hAnsi="Arial Narrow" w:cs="Arial"/>
                <w:bCs/>
              </w:rPr>
              <w:t xml:space="preserve">did not </w:t>
            </w:r>
            <w:r>
              <w:rPr>
                <w:rFonts w:ascii="Arial Narrow" w:hAnsi="Arial Narrow" w:cs="Arial"/>
                <w:bCs/>
              </w:rPr>
              <w:t>report</w:t>
            </w:r>
            <w:r w:rsidR="00162B7E">
              <w:rPr>
                <w:rFonts w:ascii="Arial Narrow" w:hAnsi="Arial Narrow" w:cs="Arial"/>
                <w:bCs/>
              </w:rPr>
              <w:t xml:space="preserve"> on </w:t>
            </w:r>
            <w:r>
              <w:rPr>
                <w:rFonts w:ascii="Arial Narrow" w:hAnsi="Arial Narrow" w:cs="Arial"/>
                <w:bCs/>
              </w:rPr>
              <w:t>GEYODI empowerment:</w:t>
            </w:r>
          </w:p>
          <w:p w14:paraId="060F1679" w14:textId="311C8825" w:rsidR="009342C8" w:rsidRPr="00162B7E" w:rsidRDefault="009342C8" w:rsidP="00162B7E">
            <w:pPr>
              <w:rPr>
                <w:rFonts w:ascii="Arial Narrow" w:hAnsi="Arial Narrow" w:cs="Arial"/>
              </w:rPr>
            </w:pPr>
          </w:p>
        </w:tc>
      </w:tr>
    </w:tbl>
    <w:p w14:paraId="3ABF866D" w14:textId="0D34D48E" w:rsidR="006E0C9A" w:rsidRPr="006C3E18" w:rsidRDefault="006E0C9A" w:rsidP="006E0C9A">
      <w:pPr>
        <w:pStyle w:val="Heading1"/>
        <w:shd w:val="clear" w:color="auto" w:fill="D9D9D9" w:themeFill="background1" w:themeFillShade="D9"/>
        <w:rPr>
          <w:rFonts w:ascii="Arial Narrow" w:hAnsi="Arial Narrow"/>
          <w:color w:val="auto"/>
          <w:sz w:val="22"/>
          <w:szCs w:val="22"/>
        </w:rPr>
      </w:pPr>
      <w:bookmarkStart w:id="20" w:name="_Toc50576919"/>
      <w:r w:rsidRPr="006C3E18">
        <w:rPr>
          <w:rFonts w:ascii="Arial Narrow" w:hAnsi="Arial Narrow"/>
          <w:color w:val="auto"/>
          <w:sz w:val="22"/>
          <w:szCs w:val="22"/>
        </w:rPr>
        <w:t>9</w:t>
      </w:r>
      <w:r w:rsidR="00AF23BE">
        <w:rPr>
          <w:rFonts w:ascii="Arial Narrow" w:hAnsi="Arial Narrow"/>
          <w:color w:val="auto"/>
          <w:sz w:val="22"/>
          <w:szCs w:val="22"/>
        </w:rPr>
        <w:t>.</w:t>
      </w:r>
      <w:r w:rsidRPr="006C3E18">
        <w:rPr>
          <w:rFonts w:ascii="Arial Narrow" w:hAnsi="Arial Narrow"/>
          <w:color w:val="auto"/>
          <w:sz w:val="22"/>
          <w:szCs w:val="22"/>
        </w:rPr>
        <w:tab/>
        <w:t xml:space="preserve">OVERSIGHT ON </w:t>
      </w:r>
      <w:r w:rsidR="00D74068" w:rsidRPr="006C3E18">
        <w:rPr>
          <w:rFonts w:ascii="Arial Narrow" w:hAnsi="Arial Narrow"/>
          <w:color w:val="auto"/>
          <w:sz w:val="22"/>
          <w:szCs w:val="22"/>
        </w:rPr>
        <w:t>DEPARTMENT / ENTITY</w:t>
      </w:r>
      <w:r w:rsidRPr="006C3E18">
        <w:rPr>
          <w:rFonts w:ascii="Arial Narrow" w:hAnsi="Arial Narrow"/>
          <w:color w:val="auto"/>
          <w:sz w:val="22"/>
          <w:szCs w:val="22"/>
        </w:rPr>
        <w:t xml:space="preserve"> </w:t>
      </w:r>
      <w:r w:rsidR="007E5ECF" w:rsidRPr="006C3E18">
        <w:rPr>
          <w:rFonts w:ascii="Arial Narrow" w:hAnsi="Arial Narrow"/>
          <w:color w:val="auto"/>
          <w:sz w:val="22"/>
          <w:szCs w:val="22"/>
        </w:rPr>
        <w:t>COMPLIANCE WITH FIDUCIARY REQUIREMENTS</w:t>
      </w:r>
      <w:bookmarkEnd w:id="20"/>
    </w:p>
    <w:tbl>
      <w:tblPr>
        <w:tblStyle w:val="TableGrid"/>
        <w:tblW w:w="13892" w:type="dxa"/>
        <w:tblInd w:w="-5" w:type="dxa"/>
        <w:tblLook w:val="04A0" w:firstRow="1" w:lastRow="0" w:firstColumn="1" w:lastColumn="0" w:noHBand="0" w:noVBand="1"/>
      </w:tblPr>
      <w:tblGrid>
        <w:gridCol w:w="4105"/>
        <w:gridCol w:w="9787"/>
      </w:tblGrid>
      <w:tr w:rsidR="006E0C9A" w:rsidRPr="006C3E18" w14:paraId="26925960" w14:textId="77777777" w:rsidTr="004310BD">
        <w:trPr>
          <w:tblHeader/>
        </w:trPr>
        <w:tc>
          <w:tcPr>
            <w:tcW w:w="13892" w:type="dxa"/>
            <w:gridSpan w:val="2"/>
            <w:shd w:val="clear" w:color="auto" w:fill="D6E3BC" w:themeFill="accent3" w:themeFillTint="66"/>
          </w:tcPr>
          <w:p w14:paraId="7578639C" w14:textId="02878F42" w:rsidR="006E0C9A" w:rsidRPr="006C3E18" w:rsidRDefault="006E0C9A" w:rsidP="000F7DFB">
            <w:pPr>
              <w:rPr>
                <w:rFonts w:ascii="Arial Narrow" w:hAnsi="Arial Narrow"/>
                <w:b/>
              </w:rPr>
            </w:pPr>
            <w:r w:rsidRPr="006C3E18">
              <w:rPr>
                <w:rFonts w:ascii="Arial Narrow" w:hAnsi="Arial Narrow"/>
                <w:b/>
              </w:rPr>
              <w:t>9. [</w:t>
            </w:r>
            <w:r w:rsidR="00035362" w:rsidRPr="006C3E18">
              <w:rPr>
                <w:rFonts w:ascii="Arial Narrow" w:hAnsi="Arial Narrow"/>
                <w:b/>
              </w:rPr>
              <w:t xml:space="preserve">DETAILS ON </w:t>
            </w:r>
            <w:r w:rsidR="00D74068" w:rsidRPr="006C3E18">
              <w:rPr>
                <w:rFonts w:ascii="Arial Narrow" w:hAnsi="Arial Narrow"/>
                <w:b/>
              </w:rPr>
              <w:t>DEPARTMENT / ENTITY</w:t>
            </w:r>
            <w:r w:rsidRPr="006C3E18">
              <w:rPr>
                <w:rFonts w:ascii="Arial Narrow" w:hAnsi="Arial Narrow"/>
                <w:b/>
              </w:rPr>
              <w:t xml:space="preserve"> COMPLIANCE </w:t>
            </w:r>
            <w:r w:rsidR="007E5ECF" w:rsidRPr="006C3E18">
              <w:rPr>
                <w:rFonts w:ascii="Arial Narrow" w:hAnsi="Arial Narrow"/>
                <w:b/>
              </w:rPr>
              <w:t>WITH FIDUCIARY REQUIREMENTS</w:t>
            </w:r>
            <w:r w:rsidRPr="006C3E18">
              <w:rPr>
                <w:rFonts w:ascii="Arial Narrow" w:hAnsi="Arial Narrow"/>
                <w:b/>
              </w:rPr>
              <w:t>]</w:t>
            </w:r>
          </w:p>
        </w:tc>
      </w:tr>
      <w:tr w:rsidR="006144E1" w:rsidRPr="006C3E18" w14:paraId="54521CFC" w14:textId="77777777" w:rsidTr="004310BD">
        <w:tc>
          <w:tcPr>
            <w:tcW w:w="4105" w:type="dxa"/>
            <w:shd w:val="clear" w:color="auto" w:fill="D9D9D9" w:themeFill="background1" w:themeFillShade="D9"/>
          </w:tcPr>
          <w:p w14:paraId="5F356C8F" w14:textId="77777777" w:rsidR="006144E1" w:rsidRPr="006C3E18" w:rsidRDefault="006144E1" w:rsidP="006144E1">
            <w:pPr>
              <w:rPr>
                <w:rFonts w:ascii="Arial Narrow" w:hAnsi="Arial Narrow"/>
                <w:b/>
                <w:bCs/>
              </w:rPr>
            </w:pPr>
            <w:r w:rsidRPr="006C3E18">
              <w:rPr>
                <w:rFonts w:ascii="Arial Narrow" w:hAnsi="Arial Narrow"/>
                <w:b/>
                <w:bCs/>
              </w:rPr>
              <w:t>GPL</w:t>
            </w:r>
          </w:p>
        </w:tc>
        <w:tc>
          <w:tcPr>
            <w:tcW w:w="9787" w:type="dxa"/>
          </w:tcPr>
          <w:p w14:paraId="1F928DAE" w14:textId="1D3B0E12" w:rsidR="006144E1" w:rsidRPr="006C3E18" w:rsidRDefault="006144E1" w:rsidP="00847733">
            <w:pPr>
              <w:spacing w:line="276" w:lineRule="auto"/>
              <w:rPr>
                <w:rFonts w:ascii="Arial Narrow" w:hAnsi="Arial Narrow" w:cs="Arial"/>
              </w:rPr>
            </w:pPr>
            <w:r w:rsidRPr="006C3E18">
              <w:rPr>
                <w:rFonts w:ascii="Arial Narrow" w:hAnsi="Arial Narrow" w:cs="Arial"/>
              </w:rPr>
              <w:t>The</w:t>
            </w:r>
            <w:r w:rsidR="00157769">
              <w:rPr>
                <w:rFonts w:ascii="Arial Narrow" w:hAnsi="Arial Narrow" w:cs="Arial"/>
              </w:rPr>
              <w:t xml:space="preserve"> 2</w:t>
            </w:r>
            <w:r w:rsidR="00157769" w:rsidRPr="00157769">
              <w:rPr>
                <w:rFonts w:ascii="Arial Narrow" w:hAnsi="Arial Narrow" w:cs="Arial"/>
                <w:vertAlign w:val="superscript"/>
              </w:rPr>
              <w:t>nd</w:t>
            </w:r>
            <w:r w:rsidR="00157769">
              <w:rPr>
                <w:rFonts w:ascii="Arial Narrow" w:hAnsi="Arial Narrow" w:cs="Arial"/>
              </w:rPr>
              <w:t xml:space="preserve"> </w:t>
            </w:r>
            <w:r w:rsidR="00B80464">
              <w:rPr>
                <w:rFonts w:ascii="Arial Narrow" w:hAnsi="Arial Narrow" w:cs="Arial"/>
              </w:rPr>
              <w:t xml:space="preserve"> </w:t>
            </w:r>
            <w:r w:rsidR="007C4FF9" w:rsidRPr="006C3E18">
              <w:rPr>
                <w:rFonts w:ascii="Arial Narrow" w:hAnsi="Arial Narrow" w:cs="Arial"/>
              </w:rPr>
              <w:t xml:space="preserve"> </w:t>
            </w:r>
            <w:r w:rsidR="008F2347" w:rsidRPr="006C3E18">
              <w:rPr>
                <w:rFonts w:ascii="Arial Narrow" w:hAnsi="Arial Narrow" w:cs="Arial"/>
              </w:rPr>
              <w:t>Quarterly</w:t>
            </w:r>
            <w:r w:rsidRPr="006C3E18">
              <w:rPr>
                <w:rFonts w:ascii="Arial Narrow" w:hAnsi="Arial Narrow" w:cs="Arial"/>
              </w:rPr>
              <w:t xml:space="preserve"> Report for Vote </w:t>
            </w:r>
            <w:r w:rsidR="00B80464">
              <w:rPr>
                <w:rFonts w:ascii="Arial Narrow" w:hAnsi="Arial Narrow" w:cs="Arial"/>
              </w:rPr>
              <w:t>7</w:t>
            </w:r>
            <w:r w:rsidRPr="006C3E18">
              <w:rPr>
                <w:rFonts w:ascii="Arial Narrow" w:hAnsi="Arial Narrow" w:cs="Arial"/>
              </w:rPr>
              <w:t xml:space="preserve"> was submitted to the </w:t>
            </w:r>
            <w:r w:rsidR="00530199" w:rsidRPr="006C3E18">
              <w:rPr>
                <w:rFonts w:ascii="Arial Narrow" w:hAnsi="Arial Narrow" w:cs="Arial"/>
              </w:rPr>
              <w:t>GPL</w:t>
            </w:r>
            <w:r w:rsidR="00530199">
              <w:rPr>
                <w:rFonts w:ascii="Arial Narrow" w:hAnsi="Arial Narrow" w:cs="Arial"/>
              </w:rPr>
              <w:t xml:space="preserve"> on</w:t>
            </w:r>
            <w:r w:rsidR="00DA2C72">
              <w:rPr>
                <w:rFonts w:ascii="Arial Narrow" w:hAnsi="Arial Narrow" w:cs="Arial"/>
              </w:rPr>
              <w:t xml:space="preserve"> the </w:t>
            </w:r>
            <w:r w:rsidR="00FD0295">
              <w:rPr>
                <w:rFonts w:ascii="Arial Narrow" w:hAnsi="Arial Narrow" w:cs="Arial"/>
              </w:rPr>
              <w:t>05 November</w:t>
            </w:r>
            <w:r w:rsidR="00157769">
              <w:rPr>
                <w:rFonts w:ascii="Arial Narrow" w:hAnsi="Arial Narrow" w:cs="Arial"/>
              </w:rPr>
              <w:t xml:space="preserve"> </w:t>
            </w:r>
            <w:r w:rsidR="00FD0295">
              <w:rPr>
                <w:rFonts w:ascii="Arial Narrow" w:hAnsi="Arial Narrow" w:cs="Arial"/>
              </w:rPr>
              <w:t>2023</w:t>
            </w:r>
            <w:r w:rsidRPr="006C3E18">
              <w:rPr>
                <w:rFonts w:ascii="Arial Narrow" w:hAnsi="Arial Narrow" w:cs="Arial"/>
              </w:rPr>
              <w:t xml:space="preserve"> for further processing </w:t>
            </w:r>
          </w:p>
        </w:tc>
      </w:tr>
      <w:tr w:rsidR="008611B3" w:rsidRPr="006C3E18" w14:paraId="13273953" w14:textId="77777777" w:rsidTr="004310BD">
        <w:tc>
          <w:tcPr>
            <w:tcW w:w="4105" w:type="dxa"/>
            <w:shd w:val="clear" w:color="auto" w:fill="D9D9D9" w:themeFill="background1" w:themeFillShade="D9"/>
          </w:tcPr>
          <w:p w14:paraId="6D2EC20A" w14:textId="77777777" w:rsidR="008611B3" w:rsidRPr="006C3E18" w:rsidRDefault="008611B3" w:rsidP="008611B3">
            <w:pPr>
              <w:rPr>
                <w:rFonts w:ascii="Arial Narrow" w:hAnsi="Arial Narrow"/>
                <w:b/>
                <w:bCs/>
              </w:rPr>
            </w:pPr>
            <w:r w:rsidRPr="006C3E18">
              <w:rPr>
                <w:rFonts w:ascii="Arial Narrow" w:hAnsi="Arial Narrow"/>
                <w:b/>
                <w:bCs/>
              </w:rPr>
              <w:t>Auditor General (AGSA)</w:t>
            </w:r>
          </w:p>
        </w:tc>
        <w:tc>
          <w:tcPr>
            <w:tcW w:w="9787" w:type="dxa"/>
          </w:tcPr>
          <w:p w14:paraId="6CAFB19E" w14:textId="0C88D660" w:rsidR="00A7400C" w:rsidRPr="006C3E18" w:rsidRDefault="00A7400C" w:rsidP="00A7400C">
            <w:pPr>
              <w:spacing w:line="276" w:lineRule="auto"/>
              <w:rPr>
                <w:rFonts w:ascii="Arial Narrow" w:hAnsi="Arial Narrow" w:cs="Arial"/>
              </w:rPr>
            </w:pPr>
            <w:r w:rsidRPr="006C3E18">
              <w:rPr>
                <w:rFonts w:ascii="Arial Narrow" w:hAnsi="Arial Narrow" w:cs="Arial"/>
              </w:rPr>
              <w:t>Total number of AGSA Requests for Information received from AGSA during this Quarter</w:t>
            </w:r>
            <w:r w:rsidRPr="006C3E18">
              <w:rPr>
                <w:rFonts w:ascii="Arial Narrow" w:hAnsi="Arial Narrow" w:cs="Arial"/>
              </w:rPr>
              <w:tab/>
            </w:r>
            <w:r w:rsidR="00157769">
              <w:rPr>
                <w:rFonts w:ascii="Arial Narrow" w:hAnsi="Arial Narrow" w:cs="Arial"/>
              </w:rPr>
              <w:t>0</w:t>
            </w:r>
          </w:p>
          <w:p w14:paraId="2B3DEF37" w14:textId="639A16CE" w:rsidR="00A7400C" w:rsidRPr="006C3E18" w:rsidRDefault="00A7400C" w:rsidP="00A7400C">
            <w:pPr>
              <w:spacing w:line="276" w:lineRule="auto"/>
              <w:rPr>
                <w:rFonts w:ascii="Arial Narrow" w:hAnsi="Arial Narrow" w:cs="Arial"/>
              </w:rPr>
            </w:pPr>
            <w:r w:rsidRPr="006C3E18">
              <w:rPr>
                <w:rFonts w:ascii="Arial Narrow" w:hAnsi="Arial Narrow" w:cs="Arial"/>
              </w:rPr>
              <w:t>Total number of AGSA Requests for Information due during this Quarter</w:t>
            </w:r>
            <w:r w:rsidRPr="006C3E18">
              <w:rPr>
                <w:rFonts w:ascii="Arial Narrow" w:hAnsi="Arial Narrow" w:cs="Arial"/>
              </w:rPr>
              <w:tab/>
            </w:r>
            <w:r w:rsidR="0095159F">
              <w:rPr>
                <w:rFonts w:ascii="Arial Narrow" w:hAnsi="Arial Narrow" w:cs="Arial"/>
              </w:rPr>
              <w:t xml:space="preserve"> </w:t>
            </w:r>
            <w:r w:rsidR="00157769">
              <w:rPr>
                <w:rFonts w:ascii="Arial Narrow" w:hAnsi="Arial Narrow" w:cs="Arial"/>
              </w:rPr>
              <w:t>0</w:t>
            </w:r>
          </w:p>
          <w:p w14:paraId="35D6F950" w14:textId="7F3251D8" w:rsidR="008611B3" w:rsidRPr="006C3E18" w:rsidRDefault="00A7400C" w:rsidP="00A7400C">
            <w:pPr>
              <w:spacing w:line="276" w:lineRule="auto"/>
              <w:rPr>
                <w:rFonts w:ascii="Arial Narrow" w:hAnsi="Arial Narrow" w:cs="Arial"/>
              </w:rPr>
            </w:pPr>
            <w:r w:rsidRPr="006C3E18">
              <w:rPr>
                <w:rFonts w:ascii="Arial Narrow" w:hAnsi="Arial Narrow" w:cs="Arial"/>
              </w:rPr>
              <w:t>Total number of AGSA Requests for Information responded to and submitted back to AGSA during this Quarter</w:t>
            </w:r>
            <w:r w:rsidR="00F825F5">
              <w:rPr>
                <w:rFonts w:ascii="Arial Narrow" w:hAnsi="Arial Narrow" w:cs="Arial"/>
              </w:rPr>
              <w:t xml:space="preserve"> </w:t>
            </w:r>
            <w:r w:rsidR="00157769">
              <w:rPr>
                <w:rFonts w:ascii="Arial Narrow" w:hAnsi="Arial Narrow" w:cs="Arial"/>
              </w:rPr>
              <w:t>0</w:t>
            </w:r>
          </w:p>
        </w:tc>
      </w:tr>
      <w:tr w:rsidR="008611B3" w:rsidRPr="006C3E18" w14:paraId="1AB57CD4" w14:textId="77777777" w:rsidTr="004310BD">
        <w:tc>
          <w:tcPr>
            <w:tcW w:w="4105" w:type="dxa"/>
            <w:shd w:val="clear" w:color="auto" w:fill="D9D9D9" w:themeFill="background1" w:themeFillShade="D9"/>
          </w:tcPr>
          <w:p w14:paraId="62CECEA9" w14:textId="77777777" w:rsidR="008611B3" w:rsidRPr="006C3E18" w:rsidRDefault="008611B3" w:rsidP="008611B3">
            <w:pPr>
              <w:rPr>
                <w:rFonts w:ascii="Arial Narrow" w:hAnsi="Arial Narrow"/>
                <w:b/>
                <w:bCs/>
              </w:rPr>
            </w:pPr>
            <w:r w:rsidRPr="006C3E18">
              <w:rPr>
                <w:rFonts w:ascii="Arial Narrow" w:hAnsi="Arial Narrow"/>
                <w:b/>
                <w:bCs/>
              </w:rPr>
              <w:t>Public Service Commission (PSC)</w:t>
            </w:r>
          </w:p>
        </w:tc>
        <w:tc>
          <w:tcPr>
            <w:tcW w:w="9787" w:type="dxa"/>
          </w:tcPr>
          <w:p w14:paraId="4117435B" w14:textId="6AA3E8E5" w:rsidR="00A7400C" w:rsidRPr="006C3E18" w:rsidRDefault="00A7400C" w:rsidP="00A7400C">
            <w:pPr>
              <w:spacing w:line="276" w:lineRule="auto"/>
              <w:rPr>
                <w:rFonts w:ascii="Arial Narrow" w:hAnsi="Arial Narrow" w:cs="Arial"/>
              </w:rPr>
            </w:pPr>
            <w:r w:rsidRPr="006C3E18">
              <w:rPr>
                <w:rFonts w:ascii="Arial Narrow" w:hAnsi="Arial Narrow" w:cs="Arial"/>
              </w:rPr>
              <w:t>Total number of PSC Requests for Information received from the PSC during this Quarter</w:t>
            </w:r>
            <w:r w:rsidRPr="006C3E18">
              <w:rPr>
                <w:rFonts w:ascii="Arial Narrow" w:hAnsi="Arial Narrow" w:cs="Arial"/>
              </w:rPr>
              <w:tab/>
            </w:r>
            <w:r w:rsidR="00C57B7A">
              <w:rPr>
                <w:rFonts w:ascii="Arial Narrow" w:hAnsi="Arial Narrow" w:cs="Arial"/>
              </w:rPr>
              <w:t>0</w:t>
            </w:r>
          </w:p>
          <w:p w14:paraId="347FDD90" w14:textId="4854ED6D" w:rsidR="00A7400C" w:rsidRPr="006C3E18" w:rsidRDefault="00A7400C" w:rsidP="00A7400C">
            <w:pPr>
              <w:spacing w:line="276" w:lineRule="auto"/>
              <w:rPr>
                <w:rFonts w:ascii="Arial Narrow" w:hAnsi="Arial Narrow" w:cs="Arial"/>
              </w:rPr>
            </w:pPr>
            <w:r w:rsidRPr="006C3E18">
              <w:rPr>
                <w:rFonts w:ascii="Arial Narrow" w:hAnsi="Arial Narrow" w:cs="Arial"/>
              </w:rPr>
              <w:t>Total number of PSC Requests for Information due during this Quarter</w:t>
            </w:r>
            <w:r w:rsidRPr="006C3E18">
              <w:rPr>
                <w:rFonts w:ascii="Arial Narrow" w:hAnsi="Arial Narrow" w:cs="Arial"/>
              </w:rPr>
              <w:tab/>
            </w:r>
            <w:r w:rsidR="00C57B7A">
              <w:rPr>
                <w:rFonts w:ascii="Arial Narrow" w:hAnsi="Arial Narrow" w:cs="Arial"/>
              </w:rPr>
              <w:t>0</w:t>
            </w:r>
          </w:p>
          <w:p w14:paraId="32DB1B5D" w14:textId="7C2F2517" w:rsidR="008611B3" w:rsidRPr="006C3E18" w:rsidRDefault="00A7400C" w:rsidP="00A7400C">
            <w:pPr>
              <w:spacing w:line="276" w:lineRule="auto"/>
              <w:rPr>
                <w:rFonts w:ascii="Arial Narrow" w:hAnsi="Arial Narrow" w:cs="Arial"/>
              </w:rPr>
            </w:pPr>
            <w:r w:rsidRPr="006C3E18">
              <w:rPr>
                <w:rFonts w:ascii="Arial Narrow" w:hAnsi="Arial Narrow" w:cs="Arial"/>
              </w:rPr>
              <w:t xml:space="preserve">Total number of PSC Requests for Information responded to and submitted back to the PSC during this Quarter </w:t>
            </w:r>
            <w:r w:rsidR="00721006">
              <w:rPr>
                <w:rFonts w:ascii="Arial Narrow" w:hAnsi="Arial Narrow" w:cs="Arial"/>
              </w:rPr>
              <w:t>0</w:t>
            </w:r>
          </w:p>
        </w:tc>
      </w:tr>
      <w:tr w:rsidR="008611B3" w:rsidRPr="006C3E18" w14:paraId="3F3DFB80" w14:textId="77777777" w:rsidTr="004310BD">
        <w:tc>
          <w:tcPr>
            <w:tcW w:w="4105" w:type="dxa"/>
            <w:shd w:val="clear" w:color="auto" w:fill="D9D9D9" w:themeFill="background1" w:themeFillShade="D9"/>
          </w:tcPr>
          <w:p w14:paraId="3F8293C7" w14:textId="11152000" w:rsidR="008611B3" w:rsidRPr="006C3E18" w:rsidRDefault="008611B3" w:rsidP="008611B3">
            <w:pPr>
              <w:rPr>
                <w:rFonts w:ascii="Arial Narrow" w:hAnsi="Arial Narrow"/>
                <w:b/>
                <w:bCs/>
              </w:rPr>
            </w:pPr>
            <w:r w:rsidRPr="006C3E18">
              <w:rPr>
                <w:rFonts w:ascii="Arial Narrow" w:hAnsi="Arial Narrow"/>
                <w:b/>
                <w:bCs/>
              </w:rPr>
              <w:t>Compliance with relevant fiduciary Legislation [</w:t>
            </w:r>
            <w:r w:rsidR="00753223" w:rsidRPr="006C3E18">
              <w:rPr>
                <w:rFonts w:ascii="Arial Narrow" w:hAnsi="Arial Narrow"/>
                <w:b/>
                <w:bCs/>
              </w:rPr>
              <w:t>e.g.,</w:t>
            </w:r>
            <w:r w:rsidRPr="006C3E18">
              <w:rPr>
                <w:rFonts w:ascii="Arial Narrow" w:hAnsi="Arial Narrow"/>
                <w:b/>
                <w:bCs/>
              </w:rPr>
              <w:t xml:space="preserve"> PFMA]</w:t>
            </w:r>
          </w:p>
        </w:tc>
        <w:tc>
          <w:tcPr>
            <w:tcW w:w="9787" w:type="dxa"/>
          </w:tcPr>
          <w:p w14:paraId="0F6C0D11" w14:textId="24B96561" w:rsidR="008611B3" w:rsidRPr="006C3E18" w:rsidRDefault="00FA2B4C" w:rsidP="00847733">
            <w:pPr>
              <w:tabs>
                <w:tab w:val="left" w:pos="2220"/>
              </w:tabs>
              <w:spacing w:line="276" w:lineRule="auto"/>
              <w:rPr>
                <w:rFonts w:ascii="Arial Narrow" w:hAnsi="Arial Narrow" w:cs="Arial"/>
              </w:rPr>
            </w:pPr>
            <w:r w:rsidRPr="006C3E18">
              <w:rPr>
                <w:rFonts w:ascii="Arial Narrow" w:hAnsi="Arial Narrow" w:cs="Arial"/>
              </w:rPr>
              <w:t>Complian</w:t>
            </w:r>
            <w:r w:rsidR="004F063F">
              <w:rPr>
                <w:rFonts w:ascii="Arial Narrow" w:hAnsi="Arial Narrow" w:cs="Arial"/>
              </w:rPr>
              <w:t xml:space="preserve">t with the relevant fiduciary </w:t>
            </w:r>
            <w:r w:rsidR="00BD3995">
              <w:rPr>
                <w:rFonts w:ascii="Arial Narrow" w:hAnsi="Arial Narrow" w:cs="Arial"/>
              </w:rPr>
              <w:t>Legislation - PFMA</w:t>
            </w:r>
          </w:p>
        </w:tc>
      </w:tr>
    </w:tbl>
    <w:p w14:paraId="759C8E8A" w14:textId="3ECB0668" w:rsidR="00EB0B54" w:rsidRPr="006C3E18" w:rsidRDefault="00EB0B54" w:rsidP="00EB0B54">
      <w:pPr>
        <w:pStyle w:val="Heading1"/>
        <w:shd w:val="clear" w:color="auto" w:fill="D9D9D9" w:themeFill="background1" w:themeFillShade="D9"/>
        <w:rPr>
          <w:rFonts w:ascii="Arial Narrow" w:hAnsi="Arial Narrow"/>
          <w:color w:val="auto"/>
          <w:sz w:val="22"/>
          <w:szCs w:val="22"/>
        </w:rPr>
      </w:pPr>
      <w:bookmarkStart w:id="21" w:name="_Toc50576920"/>
      <w:r w:rsidRPr="00492A59">
        <w:rPr>
          <w:rFonts w:ascii="Arial Narrow" w:hAnsi="Arial Narrow"/>
          <w:color w:val="auto"/>
          <w:sz w:val="22"/>
          <w:szCs w:val="22"/>
        </w:rPr>
        <w:t>10</w:t>
      </w:r>
      <w:r w:rsidR="00AF23BE">
        <w:rPr>
          <w:rFonts w:ascii="Arial Narrow" w:hAnsi="Arial Narrow"/>
          <w:color w:val="auto"/>
          <w:sz w:val="22"/>
          <w:szCs w:val="22"/>
        </w:rPr>
        <w:t>.</w:t>
      </w:r>
      <w:r w:rsidRPr="00492A59">
        <w:rPr>
          <w:rFonts w:ascii="Arial Narrow" w:hAnsi="Arial Narrow"/>
          <w:color w:val="auto"/>
          <w:sz w:val="22"/>
          <w:szCs w:val="22"/>
        </w:rPr>
        <w:tab/>
        <w:t>OVERSIGHT ON A CAPACITATED PUBLIC SERVICE</w:t>
      </w:r>
      <w:bookmarkEnd w:id="21"/>
      <w:r w:rsidRPr="006C3E18">
        <w:rPr>
          <w:rFonts w:ascii="Arial Narrow" w:hAnsi="Arial Narrow"/>
          <w:color w:val="auto"/>
          <w:sz w:val="22"/>
          <w:szCs w:val="22"/>
        </w:rPr>
        <w:t xml:space="preserve"> </w:t>
      </w:r>
    </w:p>
    <w:tbl>
      <w:tblPr>
        <w:tblStyle w:val="TableGrid"/>
        <w:tblW w:w="13892" w:type="dxa"/>
        <w:tblInd w:w="-5" w:type="dxa"/>
        <w:tblLook w:val="04A0" w:firstRow="1" w:lastRow="0" w:firstColumn="1" w:lastColumn="0" w:noHBand="0" w:noVBand="1"/>
      </w:tblPr>
      <w:tblGrid>
        <w:gridCol w:w="13953"/>
      </w:tblGrid>
      <w:tr w:rsidR="00EB0B54" w:rsidRPr="006C3E18" w14:paraId="7FF52F04" w14:textId="77777777" w:rsidTr="00AD7BCF">
        <w:trPr>
          <w:tblHeader/>
        </w:trPr>
        <w:tc>
          <w:tcPr>
            <w:tcW w:w="13892" w:type="dxa"/>
            <w:shd w:val="clear" w:color="auto" w:fill="D6E3BC" w:themeFill="accent3" w:themeFillTint="66"/>
          </w:tcPr>
          <w:p w14:paraId="2D1E56D0" w14:textId="748A9BF4" w:rsidR="00EB0B54" w:rsidRPr="006C3E18" w:rsidRDefault="009B42A0" w:rsidP="009B42A0">
            <w:pPr>
              <w:tabs>
                <w:tab w:val="left" w:pos="4680"/>
                <w:tab w:val="center" w:pos="7121"/>
              </w:tabs>
              <w:jc w:val="left"/>
              <w:rPr>
                <w:rFonts w:ascii="Arial Narrow" w:hAnsi="Arial Narrow"/>
                <w:b/>
              </w:rPr>
            </w:pPr>
            <w:r w:rsidRPr="006C3E18">
              <w:rPr>
                <w:rFonts w:ascii="Arial Narrow" w:hAnsi="Arial Narrow"/>
                <w:b/>
              </w:rPr>
              <w:t xml:space="preserve">10. </w:t>
            </w:r>
            <w:r w:rsidR="00EB0B54" w:rsidRPr="006C3E18">
              <w:rPr>
                <w:rFonts w:ascii="Arial Narrow" w:hAnsi="Arial Narrow"/>
                <w:b/>
              </w:rPr>
              <w:t xml:space="preserve">THE DETAILS ON A CAPACITATED </w:t>
            </w:r>
            <w:r w:rsidR="00D74068" w:rsidRPr="006C3E18">
              <w:rPr>
                <w:rFonts w:ascii="Arial Narrow" w:hAnsi="Arial Narrow"/>
                <w:b/>
              </w:rPr>
              <w:t xml:space="preserve">DEPARTMENT </w:t>
            </w:r>
          </w:p>
        </w:tc>
      </w:tr>
      <w:tr w:rsidR="00EB0B54" w:rsidRPr="006C3E18" w14:paraId="58019A87" w14:textId="77777777" w:rsidTr="00AD7BCF">
        <w:tc>
          <w:tcPr>
            <w:tcW w:w="13892" w:type="dxa"/>
            <w:shd w:val="clear" w:color="auto" w:fill="F2F2F2" w:themeFill="background1" w:themeFillShade="F2"/>
          </w:tcPr>
          <w:p w14:paraId="70250A1B" w14:textId="77777777" w:rsidR="00EB0B54" w:rsidRPr="006C3E18" w:rsidRDefault="00EB0B54" w:rsidP="00995C26">
            <w:pPr>
              <w:spacing w:line="276" w:lineRule="auto"/>
              <w:rPr>
                <w:rFonts w:ascii="Arial Narrow" w:hAnsi="Arial Narrow"/>
                <w:b/>
              </w:rPr>
            </w:pPr>
            <w:r w:rsidRPr="006C3E18">
              <w:rPr>
                <w:rFonts w:ascii="Arial Narrow" w:hAnsi="Arial Narrow"/>
                <w:b/>
              </w:rPr>
              <w:t>Detailed information on the current vacancies (at all staff levels)</w:t>
            </w:r>
          </w:p>
        </w:tc>
      </w:tr>
      <w:tr w:rsidR="00EB0B54" w:rsidRPr="006C3E18" w14:paraId="105AB888" w14:textId="77777777" w:rsidTr="00AD7BCF">
        <w:tc>
          <w:tcPr>
            <w:tcW w:w="13892" w:type="dxa"/>
          </w:tcPr>
          <w:p w14:paraId="50921C76" w14:textId="114B1ABF" w:rsidR="00EB0B54" w:rsidRPr="006C3E18" w:rsidRDefault="006B3FCB" w:rsidP="00995C26">
            <w:pPr>
              <w:spacing w:line="276" w:lineRule="auto"/>
              <w:rPr>
                <w:rFonts w:ascii="Arial Narrow" w:hAnsi="Arial Narrow" w:cs="Arial"/>
                <w:bCs/>
              </w:rPr>
            </w:pPr>
            <w:r w:rsidRPr="006B3FCB">
              <w:rPr>
                <w:rFonts w:ascii="Arial Narrow" w:hAnsi="Arial Narrow" w:cs="Arial"/>
                <w:bCs/>
              </w:rPr>
              <w:t>725</w:t>
            </w:r>
          </w:p>
        </w:tc>
      </w:tr>
      <w:tr w:rsidR="00EB0B54" w:rsidRPr="006C3E18" w14:paraId="78882868" w14:textId="77777777" w:rsidTr="00AD7BCF">
        <w:tc>
          <w:tcPr>
            <w:tcW w:w="13892" w:type="dxa"/>
            <w:shd w:val="clear" w:color="auto" w:fill="F2F2F2" w:themeFill="background1" w:themeFillShade="F2"/>
          </w:tcPr>
          <w:p w14:paraId="0365EED6" w14:textId="77777777" w:rsidR="00EB0B54" w:rsidRPr="006C3E18" w:rsidRDefault="00EB0B54" w:rsidP="00995C26">
            <w:pPr>
              <w:spacing w:line="276" w:lineRule="auto"/>
              <w:rPr>
                <w:rFonts w:ascii="Arial Narrow" w:hAnsi="Arial Narrow"/>
                <w:b/>
              </w:rPr>
            </w:pPr>
            <w:r w:rsidRPr="006C3E18">
              <w:rPr>
                <w:rFonts w:ascii="Arial Narrow" w:hAnsi="Arial Narrow"/>
                <w:b/>
              </w:rPr>
              <w:t>Current vacancy rate</w:t>
            </w:r>
          </w:p>
        </w:tc>
      </w:tr>
      <w:tr w:rsidR="00EB0B54" w:rsidRPr="006C3E18" w14:paraId="3441915D" w14:textId="77777777" w:rsidTr="00AD7BCF">
        <w:tc>
          <w:tcPr>
            <w:tcW w:w="13892" w:type="dxa"/>
          </w:tcPr>
          <w:p w14:paraId="1A83257B" w14:textId="6EDE9099" w:rsidR="00EB0B54" w:rsidRPr="006C3E18" w:rsidRDefault="001315B5" w:rsidP="00995C26">
            <w:pPr>
              <w:spacing w:line="276" w:lineRule="auto"/>
              <w:rPr>
                <w:rFonts w:ascii="Arial Narrow" w:hAnsi="Arial Narrow" w:cs="Arial"/>
                <w:bCs/>
              </w:rPr>
            </w:pPr>
            <w:r>
              <w:rPr>
                <w:rFonts w:ascii="Arial Narrow" w:hAnsi="Arial Narrow" w:cs="Arial"/>
                <w:bCs/>
              </w:rPr>
              <w:t>90</w:t>
            </w:r>
          </w:p>
        </w:tc>
      </w:tr>
      <w:tr w:rsidR="00EB0B54" w:rsidRPr="006C3E18" w14:paraId="08F36FB1" w14:textId="77777777" w:rsidTr="00AD7BCF">
        <w:tc>
          <w:tcPr>
            <w:tcW w:w="13892" w:type="dxa"/>
            <w:shd w:val="clear" w:color="auto" w:fill="F2F2F2" w:themeFill="background1" w:themeFillShade="F2"/>
          </w:tcPr>
          <w:p w14:paraId="527260AB" w14:textId="77777777" w:rsidR="00EB0B54" w:rsidRPr="006C3E18" w:rsidRDefault="00EB0B54" w:rsidP="00995C26">
            <w:pPr>
              <w:spacing w:line="276" w:lineRule="auto"/>
              <w:rPr>
                <w:rFonts w:ascii="Arial Narrow" w:hAnsi="Arial Narrow"/>
                <w:b/>
              </w:rPr>
            </w:pPr>
            <w:r w:rsidRPr="006C3E18">
              <w:rPr>
                <w:rFonts w:ascii="Arial Narrow" w:hAnsi="Arial Narrow"/>
                <w:b/>
              </w:rPr>
              <w:t>Current acting positions (at all Staff levels)</w:t>
            </w:r>
          </w:p>
        </w:tc>
      </w:tr>
      <w:tr w:rsidR="00EB0B54" w:rsidRPr="006C3E18" w14:paraId="5E9EC150" w14:textId="77777777" w:rsidTr="00AD7BCF">
        <w:tc>
          <w:tcPr>
            <w:tcW w:w="13892" w:type="dxa"/>
          </w:tcPr>
          <w:p w14:paraId="7E109E88" w14:textId="7CA7932C" w:rsidR="00EB0B54" w:rsidRPr="006C3E18" w:rsidRDefault="00A362DE" w:rsidP="00995C26">
            <w:pPr>
              <w:spacing w:line="276" w:lineRule="auto"/>
              <w:rPr>
                <w:rFonts w:ascii="Arial Narrow" w:hAnsi="Arial Narrow" w:cs="Arial"/>
                <w:bCs/>
              </w:rPr>
            </w:pPr>
            <w:r>
              <w:rPr>
                <w:rFonts w:ascii="Arial Narrow" w:hAnsi="Arial Narrow" w:cs="Arial"/>
                <w:bCs/>
              </w:rPr>
              <w:t>8</w:t>
            </w:r>
          </w:p>
        </w:tc>
      </w:tr>
      <w:tr w:rsidR="00EB0B54" w:rsidRPr="006C3E18" w14:paraId="2429936A" w14:textId="77777777" w:rsidTr="00AD7BCF">
        <w:tc>
          <w:tcPr>
            <w:tcW w:w="13892" w:type="dxa"/>
            <w:shd w:val="clear" w:color="auto" w:fill="F2F2F2" w:themeFill="background1" w:themeFillShade="F2"/>
          </w:tcPr>
          <w:p w14:paraId="0B6B0849" w14:textId="77777777" w:rsidR="00EB0B54" w:rsidRPr="006C3E18" w:rsidRDefault="00EB0B54" w:rsidP="00995C26">
            <w:pPr>
              <w:spacing w:line="276" w:lineRule="auto"/>
              <w:rPr>
                <w:rFonts w:ascii="Arial Narrow" w:hAnsi="Arial Narrow"/>
                <w:b/>
              </w:rPr>
            </w:pPr>
            <w:r w:rsidRPr="006C3E18">
              <w:rPr>
                <w:rFonts w:ascii="Arial Narrow" w:hAnsi="Arial Narrow"/>
                <w:b/>
              </w:rPr>
              <w:t>Terminations during the period under review</w:t>
            </w:r>
          </w:p>
        </w:tc>
      </w:tr>
      <w:tr w:rsidR="00EB0B54" w:rsidRPr="006C3E18" w14:paraId="7A4AAE43" w14:textId="77777777" w:rsidTr="00AD7BCF">
        <w:tc>
          <w:tcPr>
            <w:tcW w:w="13892" w:type="dxa"/>
          </w:tcPr>
          <w:p w14:paraId="6A091A81" w14:textId="6D352B7D" w:rsidR="00EB0B54" w:rsidRPr="006C3E18" w:rsidRDefault="00A362DE" w:rsidP="0001769C">
            <w:pPr>
              <w:tabs>
                <w:tab w:val="left" w:pos="1144"/>
              </w:tabs>
              <w:spacing w:line="276" w:lineRule="auto"/>
              <w:rPr>
                <w:rFonts w:ascii="Arial Narrow" w:hAnsi="Arial Narrow" w:cs="Arial"/>
                <w:bCs/>
              </w:rPr>
            </w:pPr>
            <w:r>
              <w:rPr>
                <w:rFonts w:ascii="Arial Narrow" w:hAnsi="Arial Narrow" w:cs="Arial"/>
                <w:bCs/>
              </w:rPr>
              <w:t>15</w:t>
            </w:r>
            <w:r w:rsidR="0001769C" w:rsidRPr="006C3E18">
              <w:rPr>
                <w:rFonts w:ascii="Arial Narrow" w:hAnsi="Arial Narrow" w:cs="Arial"/>
                <w:bCs/>
              </w:rPr>
              <w:tab/>
            </w:r>
          </w:p>
        </w:tc>
      </w:tr>
      <w:tr w:rsidR="00EB0B54" w:rsidRPr="006C3E18" w14:paraId="55267C7C" w14:textId="77777777" w:rsidTr="00AD7BCF">
        <w:tc>
          <w:tcPr>
            <w:tcW w:w="13892" w:type="dxa"/>
            <w:shd w:val="clear" w:color="auto" w:fill="F2F2F2" w:themeFill="background1" w:themeFillShade="F2"/>
          </w:tcPr>
          <w:p w14:paraId="1E0C33A8" w14:textId="77777777" w:rsidR="00EB0B54" w:rsidRPr="006C3E18" w:rsidRDefault="00EB0B54" w:rsidP="000F7DFB">
            <w:pPr>
              <w:rPr>
                <w:rFonts w:ascii="Arial Narrow" w:hAnsi="Arial Narrow"/>
                <w:b/>
              </w:rPr>
            </w:pPr>
            <w:r w:rsidRPr="006C3E18">
              <w:rPr>
                <w:rFonts w:ascii="Arial Narrow" w:hAnsi="Arial Narrow"/>
                <w:b/>
              </w:rPr>
              <w:t>New appointments during the period under review</w:t>
            </w:r>
          </w:p>
        </w:tc>
      </w:tr>
      <w:tr w:rsidR="00EB0B54" w:rsidRPr="006C3E18" w14:paraId="6C689D54" w14:textId="77777777" w:rsidTr="00AD7BCF">
        <w:tc>
          <w:tcPr>
            <w:tcW w:w="13892" w:type="dxa"/>
          </w:tcPr>
          <w:p w14:paraId="408293B0" w14:textId="5C49FFD8" w:rsidR="00EB0B54" w:rsidRPr="006C3E18" w:rsidRDefault="001E3983" w:rsidP="000F7DFB">
            <w:pPr>
              <w:rPr>
                <w:rFonts w:ascii="Arial Narrow" w:hAnsi="Arial Narrow" w:cs="Arial"/>
                <w:bCs/>
              </w:rPr>
            </w:pPr>
            <w:r>
              <w:rPr>
                <w:rFonts w:ascii="Arial Narrow" w:hAnsi="Arial Narrow" w:cs="Arial"/>
                <w:bCs/>
              </w:rPr>
              <w:t>8</w:t>
            </w:r>
          </w:p>
        </w:tc>
      </w:tr>
      <w:tr w:rsidR="00EB0B54" w:rsidRPr="006C3E18" w14:paraId="397FAD26" w14:textId="77777777" w:rsidTr="00AD7BCF">
        <w:tc>
          <w:tcPr>
            <w:tcW w:w="13892" w:type="dxa"/>
            <w:shd w:val="clear" w:color="auto" w:fill="F2F2F2" w:themeFill="background1" w:themeFillShade="F2"/>
          </w:tcPr>
          <w:p w14:paraId="046889EB" w14:textId="77777777" w:rsidR="00EB0B54" w:rsidRPr="006C3E18" w:rsidRDefault="00EB0B54" w:rsidP="00995C26">
            <w:pPr>
              <w:spacing w:line="276" w:lineRule="auto"/>
              <w:rPr>
                <w:rFonts w:ascii="Arial Narrow" w:hAnsi="Arial Narrow"/>
                <w:b/>
              </w:rPr>
            </w:pPr>
            <w:r w:rsidRPr="006C3E18">
              <w:rPr>
                <w:rFonts w:ascii="Arial Narrow" w:hAnsi="Arial Narrow"/>
                <w:b/>
              </w:rPr>
              <w:t>Detailed information on the GEYODI / HDI empowerment for the period under review</w:t>
            </w:r>
          </w:p>
        </w:tc>
      </w:tr>
      <w:tr w:rsidR="00EB0B54" w:rsidRPr="006C3E18" w14:paraId="2DE8EF31" w14:textId="77777777" w:rsidTr="00AD7BCF">
        <w:trPr>
          <w:trHeight w:val="452"/>
        </w:trPr>
        <w:tc>
          <w:tcPr>
            <w:tcW w:w="13892" w:type="dxa"/>
          </w:tcPr>
          <w:tbl>
            <w:tblPr>
              <w:tblStyle w:val="TableGrid"/>
              <w:tblW w:w="14858" w:type="dxa"/>
              <w:tblLook w:val="04A0" w:firstRow="1" w:lastRow="0" w:firstColumn="1" w:lastColumn="0" w:noHBand="0" w:noVBand="1"/>
            </w:tblPr>
            <w:tblGrid>
              <w:gridCol w:w="4368"/>
              <w:gridCol w:w="2512"/>
              <w:gridCol w:w="935"/>
              <w:gridCol w:w="813"/>
              <w:gridCol w:w="813"/>
              <w:gridCol w:w="818"/>
              <w:gridCol w:w="818"/>
              <w:gridCol w:w="813"/>
              <w:gridCol w:w="827"/>
              <w:gridCol w:w="2141"/>
            </w:tblGrid>
            <w:tr w:rsidR="00C90D4C" w:rsidRPr="00C90D4C" w14:paraId="41D9FFC8" w14:textId="77777777" w:rsidTr="00020F2A">
              <w:trPr>
                <w:trHeight w:val="200"/>
              </w:trPr>
              <w:tc>
                <w:tcPr>
                  <w:tcW w:w="4368" w:type="dxa"/>
                  <w:vMerge w:val="restart"/>
                </w:tcPr>
                <w:p w14:paraId="0EC8FC29" w14:textId="77777777" w:rsidR="00C90D4C" w:rsidRPr="00C90D4C" w:rsidRDefault="00C90D4C" w:rsidP="00C90D4C">
                  <w:pPr>
                    <w:rPr>
                      <w:rFonts w:ascii="Arial Narrow" w:hAnsi="Arial Narrow" w:cs="Arial"/>
                      <w:b/>
                      <w:bCs/>
                    </w:rPr>
                  </w:pPr>
                  <w:r w:rsidRPr="00C90D4C">
                    <w:rPr>
                      <w:rFonts w:ascii="Arial Narrow" w:hAnsi="Arial Narrow" w:cs="Arial"/>
                      <w:b/>
                      <w:bCs/>
                    </w:rPr>
                    <w:t>ZERO (0)</w:t>
                  </w:r>
                </w:p>
              </w:tc>
              <w:tc>
                <w:tcPr>
                  <w:tcW w:w="10490" w:type="dxa"/>
                  <w:gridSpan w:val="9"/>
                </w:tcPr>
                <w:p w14:paraId="4F7E784D" w14:textId="77777777" w:rsidR="00C90D4C" w:rsidRPr="00C90D4C" w:rsidRDefault="00C90D4C" w:rsidP="00C90D4C">
                  <w:pPr>
                    <w:rPr>
                      <w:rFonts w:ascii="Arial Narrow" w:hAnsi="Arial Narrow" w:cs="Arial"/>
                      <w:bCs/>
                    </w:rPr>
                  </w:pPr>
                  <w:r w:rsidRPr="00C90D4C">
                    <w:rPr>
                      <w:rFonts w:ascii="Arial Narrow" w:hAnsi="Arial Narrow" w:cs="Arial"/>
                      <w:b/>
                      <w:bCs/>
                    </w:rPr>
                    <w:t>AGE GROUP</w:t>
                  </w:r>
                </w:p>
              </w:tc>
            </w:tr>
            <w:tr w:rsidR="00C90D4C" w:rsidRPr="00C90D4C" w14:paraId="47C5D265" w14:textId="77777777" w:rsidTr="00020F2A">
              <w:trPr>
                <w:trHeight w:val="275"/>
              </w:trPr>
              <w:tc>
                <w:tcPr>
                  <w:tcW w:w="4368" w:type="dxa"/>
                  <w:vMerge/>
                </w:tcPr>
                <w:p w14:paraId="63368561" w14:textId="77777777" w:rsidR="00C90D4C" w:rsidRPr="00C90D4C" w:rsidRDefault="00C90D4C" w:rsidP="00C90D4C">
                  <w:pPr>
                    <w:rPr>
                      <w:rFonts w:ascii="Arial Narrow" w:hAnsi="Arial Narrow" w:cs="Arial"/>
                      <w:b/>
                      <w:bCs/>
                    </w:rPr>
                  </w:pPr>
                </w:p>
              </w:tc>
              <w:tc>
                <w:tcPr>
                  <w:tcW w:w="3447" w:type="dxa"/>
                  <w:gridSpan w:val="2"/>
                  <w:shd w:val="clear" w:color="auto" w:fill="FDE9D9" w:themeFill="accent6" w:themeFillTint="33"/>
                  <w:vAlign w:val="bottom"/>
                </w:tcPr>
                <w:p w14:paraId="3DA7BF64" w14:textId="77777777" w:rsidR="00C90D4C" w:rsidRPr="00C90D4C" w:rsidRDefault="00C90D4C" w:rsidP="00C90D4C">
                  <w:pPr>
                    <w:rPr>
                      <w:rFonts w:ascii="Arial Narrow" w:hAnsi="Arial Narrow" w:cs="Arial"/>
                      <w:b/>
                      <w:bCs/>
                    </w:rPr>
                  </w:pPr>
                  <w:r w:rsidRPr="00C90D4C">
                    <w:rPr>
                      <w:rFonts w:ascii="Arial Narrow" w:hAnsi="Arial Narrow" w:cs="Arial"/>
                      <w:b/>
                      <w:bCs/>
                    </w:rPr>
                    <w:t>18 - 25</w:t>
                  </w:r>
                </w:p>
              </w:tc>
              <w:tc>
                <w:tcPr>
                  <w:tcW w:w="1626" w:type="dxa"/>
                  <w:gridSpan w:val="2"/>
                  <w:shd w:val="clear" w:color="auto" w:fill="FDE9D9" w:themeFill="accent6" w:themeFillTint="33"/>
                  <w:vAlign w:val="bottom"/>
                </w:tcPr>
                <w:p w14:paraId="67664168" w14:textId="77777777" w:rsidR="00C90D4C" w:rsidRPr="00C90D4C" w:rsidRDefault="00C90D4C" w:rsidP="00C90D4C">
                  <w:pPr>
                    <w:rPr>
                      <w:rFonts w:ascii="Arial Narrow" w:hAnsi="Arial Narrow" w:cs="Arial"/>
                      <w:b/>
                      <w:bCs/>
                    </w:rPr>
                  </w:pPr>
                  <w:r w:rsidRPr="00C90D4C">
                    <w:rPr>
                      <w:rFonts w:ascii="Arial Narrow" w:hAnsi="Arial Narrow" w:cs="Arial"/>
                      <w:b/>
                      <w:bCs/>
                    </w:rPr>
                    <w:t>26 - 35</w:t>
                  </w:r>
                </w:p>
              </w:tc>
              <w:tc>
                <w:tcPr>
                  <w:tcW w:w="1636" w:type="dxa"/>
                  <w:gridSpan w:val="2"/>
                  <w:shd w:val="clear" w:color="auto" w:fill="FDE9D9" w:themeFill="accent6" w:themeFillTint="33"/>
                  <w:vAlign w:val="bottom"/>
                </w:tcPr>
                <w:p w14:paraId="58E82A11" w14:textId="77777777" w:rsidR="00C90D4C" w:rsidRPr="00C90D4C" w:rsidRDefault="00C90D4C" w:rsidP="00C90D4C">
                  <w:pPr>
                    <w:rPr>
                      <w:rFonts w:ascii="Arial Narrow" w:hAnsi="Arial Narrow" w:cs="Arial"/>
                      <w:b/>
                      <w:bCs/>
                    </w:rPr>
                  </w:pPr>
                  <w:r w:rsidRPr="00C90D4C">
                    <w:rPr>
                      <w:rFonts w:ascii="Arial Narrow" w:hAnsi="Arial Narrow" w:cs="Arial"/>
                      <w:b/>
                      <w:bCs/>
                    </w:rPr>
                    <w:t xml:space="preserve">Grand total </w:t>
                  </w:r>
                </w:p>
              </w:tc>
              <w:tc>
                <w:tcPr>
                  <w:tcW w:w="1640" w:type="dxa"/>
                  <w:gridSpan w:val="2"/>
                  <w:shd w:val="clear" w:color="auto" w:fill="FDE9D9" w:themeFill="accent6" w:themeFillTint="33"/>
                </w:tcPr>
                <w:p w14:paraId="5DA2AE9B" w14:textId="77777777" w:rsidR="00C90D4C" w:rsidRPr="00C90D4C" w:rsidRDefault="00C90D4C" w:rsidP="00C90D4C">
                  <w:pPr>
                    <w:rPr>
                      <w:rFonts w:ascii="Arial Narrow" w:hAnsi="Arial Narrow" w:cs="Arial"/>
                      <w:b/>
                      <w:bCs/>
                    </w:rPr>
                  </w:pPr>
                  <w:r w:rsidRPr="00C90D4C">
                    <w:rPr>
                      <w:rFonts w:ascii="Arial Narrow" w:hAnsi="Arial Narrow" w:cs="Arial"/>
                      <w:b/>
                      <w:bCs/>
                    </w:rPr>
                    <w:t>% 18-25</w:t>
                  </w:r>
                </w:p>
              </w:tc>
              <w:tc>
                <w:tcPr>
                  <w:tcW w:w="2141" w:type="dxa"/>
                  <w:shd w:val="clear" w:color="auto" w:fill="FDE9D9" w:themeFill="accent6" w:themeFillTint="33"/>
                </w:tcPr>
                <w:p w14:paraId="451167BF" w14:textId="77777777" w:rsidR="00C90D4C" w:rsidRPr="00C90D4C" w:rsidRDefault="00C90D4C" w:rsidP="00C90D4C">
                  <w:pPr>
                    <w:rPr>
                      <w:rFonts w:ascii="Arial Narrow" w:hAnsi="Arial Narrow" w:cs="Arial"/>
                      <w:b/>
                      <w:bCs/>
                    </w:rPr>
                  </w:pPr>
                  <w:r w:rsidRPr="00C90D4C">
                    <w:rPr>
                      <w:rFonts w:ascii="Arial Narrow" w:hAnsi="Arial Narrow" w:cs="Arial"/>
                      <w:b/>
                      <w:bCs/>
                    </w:rPr>
                    <w:t>% 26- 35</w:t>
                  </w:r>
                </w:p>
              </w:tc>
            </w:tr>
            <w:tr w:rsidR="00C90D4C" w:rsidRPr="00C90D4C" w14:paraId="6D070876" w14:textId="77777777" w:rsidTr="00020F2A">
              <w:trPr>
                <w:trHeight w:val="338"/>
              </w:trPr>
              <w:tc>
                <w:tcPr>
                  <w:tcW w:w="4368" w:type="dxa"/>
                  <w:vMerge/>
                </w:tcPr>
                <w:p w14:paraId="0B253586" w14:textId="77777777" w:rsidR="00C90D4C" w:rsidRPr="00C90D4C" w:rsidRDefault="00C90D4C" w:rsidP="00C90D4C">
                  <w:pPr>
                    <w:rPr>
                      <w:rFonts w:ascii="Arial Narrow" w:hAnsi="Arial Narrow" w:cs="Arial"/>
                      <w:b/>
                      <w:bCs/>
                    </w:rPr>
                  </w:pPr>
                </w:p>
              </w:tc>
              <w:tc>
                <w:tcPr>
                  <w:tcW w:w="3447" w:type="dxa"/>
                  <w:gridSpan w:val="2"/>
                  <w:vAlign w:val="bottom"/>
                </w:tcPr>
                <w:p w14:paraId="2D831E70" w14:textId="77777777" w:rsidR="00C90D4C" w:rsidRPr="00C90D4C" w:rsidRDefault="00C90D4C" w:rsidP="00C90D4C">
                  <w:pPr>
                    <w:rPr>
                      <w:rFonts w:ascii="Arial Narrow" w:hAnsi="Arial Narrow" w:cs="Arial"/>
                      <w:bCs/>
                    </w:rPr>
                  </w:pPr>
                  <w:r w:rsidRPr="00C90D4C">
                    <w:rPr>
                      <w:rFonts w:ascii="Arial Narrow" w:hAnsi="Arial Narrow" w:cs="Arial"/>
                      <w:bCs/>
                    </w:rPr>
                    <w:t>1</w:t>
                  </w:r>
                </w:p>
              </w:tc>
              <w:tc>
                <w:tcPr>
                  <w:tcW w:w="1626" w:type="dxa"/>
                  <w:gridSpan w:val="2"/>
                  <w:vAlign w:val="bottom"/>
                </w:tcPr>
                <w:p w14:paraId="1A33707A" w14:textId="77777777" w:rsidR="00C90D4C" w:rsidRPr="00C90D4C" w:rsidRDefault="00C90D4C" w:rsidP="00C90D4C">
                  <w:pPr>
                    <w:rPr>
                      <w:rFonts w:ascii="Arial Narrow" w:hAnsi="Arial Narrow" w:cs="Arial"/>
                      <w:bCs/>
                    </w:rPr>
                  </w:pPr>
                  <w:r w:rsidRPr="00C90D4C">
                    <w:rPr>
                      <w:rFonts w:ascii="Arial Narrow" w:hAnsi="Arial Narrow" w:cs="Arial"/>
                      <w:bCs/>
                    </w:rPr>
                    <w:t>47</w:t>
                  </w:r>
                </w:p>
              </w:tc>
              <w:tc>
                <w:tcPr>
                  <w:tcW w:w="1636" w:type="dxa"/>
                  <w:gridSpan w:val="2"/>
                  <w:vAlign w:val="bottom"/>
                </w:tcPr>
                <w:p w14:paraId="426EBE3B" w14:textId="77777777" w:rsidR="00C90D4C" w:rsidRPr="00C90D4C" w:rsidRDefault="00C90D4C" w:rsidP="00C90D4C">
                  <w:pPr>
                    <w:rPr>
                      <w:rFonts w:ascii="Arial Narrow" w:hAnsi="Arial Narrow" w:cs="Arial"/>
                      <w:b/>
                      <w:bCs/>
                    </w:rPr>
                  </w:pPr>
                  <w:r w:rsidRPr="00C90D4C">
                    <w:rPr>
                      <w:rFonts w:ascii="Arial Narrow" w:hAnsi="Arial Narrow" w:cs="Arial"/>
                      <w:b/>
                      <w:bCs/>
                    </w:rPr>
                    <w:t>48</w:t>
                  </w:r>
                </w:p>
              </w:tc>
              <w:tc>
                <w:tcPr>
                  <w:tcW w:w="1640" w:type="dxa"/>
                  <w:gridSpan w:val="2"/>
                </w:tcPr>
                <w:p w14:paraId="2D84A2F8" w14:textId="77777777" w:rsidR="00C90D4C" w:rsidRPr="00C90D4C" w:rsidRDefault="00C90D4C" w:rsidP="00C90D4C">
                  <w:pPr>
                    <w:rPr>
                      <w:rFonts w:ascii="Arial Narrow" w:hAnsi="Arial Narrow" w:cs="Arial"/>
                      <w:bCs/>
                    </w:rPr>
                  </w:pPr>
                  <w:r w:rsidRPr="00C90D4C">
                    <w:rPr>
                      <w:rFonts w:ascii="Arial Narrow" w:hAnsi="Arial Narrow" w:cs="Arial"/>
                      <w:bCs/>
                    </w:rPr>
                    <w:t>0,16%</w:t>
                  </w:r>
                </w:p>
              </w:tc>
              <w:tc>
                <w:tcPr>
                  <w:tcW w:w="2141" w:type="dxa"/>
                </w:tcPr>
                <w:p w14:paraId="546CCD26" w14:textId="77777777" w:rsidR="00C90D4C" w:rsidRPr="00C90D4C" w:rsidRDefault="00C90D4C" w:rsidP="00C90D4C">
                  <w:pPr>
                    <w:rPr>
                      <w:rFonts w:ascii="Arial Narrow" w:hAnsi="Arial Narrow" w:cs="Arial"/>
                      <w:bCs/>
                    </w:rPr>
                  </w:pPr>
                  <w:r w:rsidRPr="00C90D4C">
                    <w:rPr>
                      <w:rFonts w:ascii="Arial Narrow" w:hAnsi="Arial Narrow" w:cs="Arial"/>
                      <w:bCs/>
                    </w:rPr>
                    <w:t>7,31%</w:t>
                  </w:r>
                </w:p>
              </w:tc>
            </w:tr>
            <w:tr w:rsidR="00C90D4C" w:rsidRPr="00C90D4C" w14:paraId="71F82FFF" w14:textId="77777777" w:rsidTr="00020F2A">
              <w:trPr>
                <w:trHeight w:val="338"/>
              </w:trPr>
              <w:tc>
                <w:tcPr>
                  <w:tcW w:w="4368" w:type="dxa"/>
                  <w:vMerge/>
                </w:tcPr>
                <w:p w14:paraId="41DC9905" w14:textId="77777777" w:rsidR="00C90D4C" w:rsidRPr="00C90D4C" w:rsidRDefault="00C90D4C" w:rsidP="00C90D4C">
                  <w:pPr>
                    <w:rPr>
                      <w:rFonts w:ascii="Arial Narrow" w:hAnsi="Arial Narrow" w:cs="Arial"/>
                      <w:b/>
                      <w:bCs/>
                    </w:rPr>
                  </w:pPr>
                </w:p>
              </w:tc>
              <w:tc>
                <w:tcPr>
                  <w:tcW w:w="3447" w:type="dxa"/>
                  <w:gridSpan w:val="2"/>
                  <w:shd w:val="clear" w:color="auto" w:fill="FDE9D9" w:themeFill="accent6" w:themeFillTint="33"/>
                  <w:vAlign w:val="bottom"/>
                </w:tcPr>
                <w:p w14:paraId="46E71BEC" w14:textId="77777777" w:rsidR="00C90D4C" w:rsidRPr="00C90D4C" w:rsidRDefault="00C90D4C" w:rsidP="00C90D4C">
                  <w:pPr>
                    <w:rPr>
                      <w:rFonts w:ascii="Arial Narrow" w:hAnsi="Arial Narrow" w:cs="Arial"/>
                      <w:b/>
                      <w:bCs/>
                    </w:rPr>
                  </w:pPr>
                  <w:r w:rsidRPr="00C90D4C">
                    <w:rPr>
                      <w:rFonts w:ascii="Arial Narrow" w:hAnsi="Arial Narrow" w:cs="Arial"/>
                      <w:b/>
                      <w:bCs/>
                    </w:rPr>
                    <w:t>AFRICAN</w:t>
                  </w:r>
                </w:p>
              </w:tc>
              <w:tc>
                <w:tcPr>
                  <w:tcW w:w="1626" w:type="dxa"/>
                  <w:gridSpan w:val="2"/>
                  <w:shd w:val="clear" w:color="auto" w:fill="FDE9D9" w:themeFill="accent6" w:themeFillTint="33"/>
                  <w:vAlign w:val="bottom"/>
                </w:tcPr>
                <w:p w14:paraId="2B271509" w14:textId="77777777" w:rsidR="00C90D4C" w:rsidRPr="00C90D4C" w:rsidRDefault="00C90D4C" w:rsidP="00C90D4C">
                  <w:pPr>
                    <w:rPr>
                      <w:rFonts w:ascii="Arial Narrow" w:hAnsi="Arial Narrow" w:cs="Arial"/>
                      <w:b/>
                      <w:bCs/>
                    </w:rPr>
                  </w:pPr>
                  <w:r w:rsidRPr="00C90D4C">
                    <w:rPr>
                      <w:rFonts w:ascii="Arial Narrow" w:hAnsi="Arial Narrow" w:cs="Arial"/>
                      <w:b/>
                      <w:bCs/>
                    </w:rPr>
                    <w:t xml:space="preserve">COLOURED </w:t>
                  </w:r>
                </w:p>
              </w:tc>
              <w:tc>
                <w:tcPr>
                  <w:tcW w:w="1636" w:type="dxa"/>
                  <w:gridSpan w:val="2"/>
                  <w:shd w:val="clear" w:color="auto" w:fill="FDE9D9" w:themeFill="accent6" w:themeFillTint="33"/>
                  <w:vAlign w:val="bottom"/>
                </w:tcPr>
                <w:p w14:paraId="155ECE1E" w14:textId="77777777" w:rsidR="00C90D4C" w:rsidRPr="00C90D4C" w:rsidRDefault="00C90D4C" w:rsidP="00C90D4C">
                  <w:pPr>
                    <w:rPr>
                      <w:rFonts w:ascii="Arial Narrow" w:hAnsi="Arial Narrow" w:cs="Arial"/>
                      <w:b/>
                      <w:bCs/>
                    </w:rPr>
                  </w:pPr>
                  <w:r w:rsidRPr="00C90D4C">
                    <w:rPr>
                      <w:rFonts w:ascii="Arial Narrow" w:hAnsi="Arial Narrow" w:cs="Arial"/>
                      <w:b/>
                      <w:bCs/>
                    </w:rPr>
                    <w:t>INDIAN</w:t>
                  </w:r>
                </w:p>
              </w:tc>
              <w:tc>
                <w:tcPr>
                  <w:tcW w:w="1640" w:type="dxa"/>
                  <w:gridSpan w:val="2"/>
                  <w:shd w:val="clear" w:color="auto" w:fill="FDE9D9" w:themeFill="accent6" w:themeFillTint="33"/>
                </w:tcPr>
                <w:p w14:paraId="71161230" w14:textId="77777777" w:rsidR="00C90D4C" w:rsidRPr="00C90D4C" w:rsidRDefault="00C90D4C" w:rsidP="00C90D4C">
                  <w:pPr>
                    <w:rPr>
                      <w:rFonts w:ascii="Arial Narrow" w:hAnsi="Arial Narrow" w:cs="Arial"/>
                      <w:b/>
                      <w:bCs/>
                    </w:rPr>
                  </w:pPr>
                  <w:r w:rsidRPr="00C90D4C">
                    <w:rPr>
                      <w:rFonts w:ascii="Arial Narrow" w:hAnsi="Arial Narrow" w:cs="Arial"/>
                      <w:b/>
                      <w:bCs/>
                    </w:rPr>
                    <w:t xml:space="preserve">WHITE </w:t>
                  </w:r>
                </w:p>
              </w:tc>
              <w:tc>
                <w:tcPr>
                  <w:tcW w:w="2141" w:type="dxa"/>
                  <w:shd w:val="clear" w:color="auto" w:fill="FDE9D9" w:themeFill="accent6" w:themeFillTint="33"/>
                </w:tcPr>
                <w:p w14:paraId="76C4AB9A" w14:textId="77777777" w:rsidR="00C90D4C" w:rsidRPr="00C90D4C" w:rsidRDefault="00C90D4C" w:rsidP="00C90D4C">
                  <w:pPr>
                    <w:rPr>
                      <w:rFonts w:ascii="Arial Narrow" w:hAnsi="Arial Narrow" w:cs="Arial"/>
                      <w:b/>
                      <w:bCs/>
                    </w:rPr>
                  </w:pPr>
                  <w:r w:rsidRPr="00C90D4C">
                    <w:rPr>
                      <w:rFonts w:ascii="Arial Narrow" w:hAnsi="Arial Narrow" w:cs="Arial"/>
                      <w:b/>
                      <w:bCs/>
                    </w:rPr>
                    <w:t xml:space="preserve">GRAND TOTAL </w:t>
                  </w:r>
                </w:p>
              </w:tc>
            </w:tr>
            <w:tr w:rsidR="00C90D4C" w:rsidRPr="00C90D4C" w14:paraId="3B7A1E38" w14:textId="77777777" w:rsidTr="00020F2A">
              <w:trPr>
                <w:trHeight w:val="338"/>
              </w:trPr>
              <w:tc>
                <w:tcPr>
                  <w:tcW w:w="4368" w:type="dxa"/>
                  <w:vMerge/>
                </w:tcPr>
                <w:p w14:paraId="59564FFB" w14:textId="77777777" w:rsidR="00C90D4C" w:rsidRPr="00C90D4C" w:rsidRDefault="00C90D4C" w:rsidP="00C90D4C">
                  <w:pPr>
                    <w:rPr>
                      <w:rFonts w:ascii="Arial Narrow" w:hAnsi="Arial Narrow" w:cs="Arial"/>
                      <w:b/>
                      <w:bCs/>
                    </w:rPr>
                  </w:pPr>
                </w:p>
              </w:tc>
              <w:tc>
                <w:tcPr>
                  <w:tcW w:w="2512" w:type="dxa"/>
                  <w:vAlign w:val="bottom"/>
                </w:tcPr>
                <w:p w14:paraId="5F47443F" w14:textId="77777777" w:rsidR="00C90D4C" w:rsidRPr="00C90D4C" w:rsidRDefault="00C90D4C" w:rsidP="00C90D4C">
                  <w:pPr>
                    <w:rPr>
                      <w:rFonts w:ascii="Arial Narrow" w:hAnsi="Arial Narrow" w:cs="Arial"/>
                      <w:bCs/>
                    </w:rPr>
                  </w:pPr>
                  <w:r w:rsidRPr="00C90D4C">
                    <w:rPr>
                      <w:rFonts w:ascii="Arial Narrow" w:hAnsi="Arial Narrow" w:cs="Arial"/>
                      <w:bCs/>
                    </w:rPr>
                    <w:t>M</w:t>
                  </w:r>
                </w:p>
              </w:tc>
              <w:tc>
                <w:tcPr>
                  <w:tcW w:w="935" w:type="dxa"/>
                  <w:vAlign w:val="bottom"/>
                </w:tcPr>
                <w:p w14:paraId="4C120C96" w14:textId="77777777" w:rsidR="00C90D4C" w:rsidRPr="00C90D4C" w:rsidRDefault="00C90D4C" w:rsidP="00C90D4C">
                  <w:pPr>
                    <w:rPr>
                      <w:rFonts w:ascii="Arial Narrow" w:hAnsi="Arial Narrow" w:cs="Arial"/>
                      <w:bCs/>
                    </w:rPr>
                  </w:pPr>
                  <w:r w:rsidRPr="00C90D4C">
                    <w:rPr>
                      <w:rFonts w:ascii="Arial Narrow" w:hAnsi="Arial Narrow" w:cs="Arial"/>
                      <w:bCs/>
                    </w:rPr>
                    <w:t>F</w:t>
                  </w:r>
                </w:p>
              </w:tc>
              <w:tc>
                <w:tcPr>
                  <w:tcW w:w="813" w:type="dxa"/>
                  <w:vAlign w:val="bottom"/>
                </w:tcPr>
                <w:p w14:paraId="6B79BF51" w14:textId="77777777" w:rsidR="00C90D4C" w:rsidRPr="00C90D4C" w:rsidRDefault="00C90D4C" w:rsidP="00C90D4C">
                  <w:pPr>
                    <w:rPr>
                      <w:rFonts w:ascii="Arial Narrow" w:hAnsi="Arial Narrow" w:cs="Arial"/>
                      <w:bCs/>
                    </w:rPr>
                  </w:pPr>
                  <w:r w:rsidRPr="00C90D4C">
                    <w:rPr>
                      <w:rFonts w:ascii="Arial Narrow" w:hAnsi="Arial Narrow" w:cs="Arial"/>
                      <w:bCs/>
                    </w:rPr>
                    <w:t>M</w:t>
                  </w:r>
                </w:p>
              </w:tc>
              <w:tc>
                <w:tcPr>
                  <w:tcW w:w="813" w:type="dxa"/>
                  <w:vAlign w:val="bottom"/>
                </w:tcPr>
                <w:p w14:paraId="38AD64B0" w14:textId="77777777" w:rsidR="00C90D4C" w:rsidRPr="00C90D4C" w:rsidRDefault="00C90D4C" w:rsidP="00C90D4C">
                  <w:pPr>
                    <w:rPr>
                      <w:rFonts w:ascii="Arial Narrow" w:hAnsi="Arial Narrow" w:cs="Arial"/>
                      <w:bCs/>
                    </w:rPr>
                  </w:pPr>
                  <w:r w:rsidRPr="00C90D4C">
                    <w:rPr>
                      <w:rFonts w:ascii="Arial Narrow" w:hAnsi="Arial Narrow" w:cs="Arial"/>
                      <w:bCs/>
                    </w:rPr>
                    <w:t>F</w:t>
                  </w:r>
                </w:p>
              </w:tc>
              <w:tc>
                <w:tcPr>
                  <w:tcW w:w="818" w:type="dxa"/>
                  <w:vAlign w:val="bottom"/>
                </w:tcPr>
                <w:p w14:paraId="6EFC7AE4" w14:textId="77777777" w:rsidR="00C90D4C" w:rsidRPr="00C90D4C" w:rsidRDefault="00C90D4C" w:rsidP="00C90D4C">
                  <w:pPr>
                    <w:rPr>
                      <w:rFonts w:ascii="Arial Narrow" w:hAnsi="Arial Narrow" w:cs="Arial"/>
                      <w:b/>
                      <w:bCs/>
                    </w:rPr>
                  </w:pPr>
                  <w:r w:rsidRPr="00C90D4C">
                    <w:rPr>
                      <w:rFonts w:ascii="Arial Narrow" w:hAnsi="Arial Narrow" w:cs="Arial"/>
                      <w:bCs/>
                    </w:rPr>
                    <w:t>M</w:t>
                  </w:r>
                </w:p>
              </w:tc>
              <w:tc>
                <w:tcPr>
                  <w:tcW w:w="818" w:type="dxa"/>
                  <w:vAlign w:val="bottom"/>
                </w:tcPr>
                <w:p w14:paraId="67037D8E" w14:textId="77777777" w:rsidR="00C90D4C" w:rsidRPr="00C90D4C" w:rsidRDefault="00C90D4C" w:rsidP="00C90D4C">
                  <w:pPr>
                    <w:rPr>
                      <w:rFonts w:ascii="Arial Narrow" w:hAnsi="Arial Narrow" w:cs="Arial"/>
                      <w:b/>
                      <w:bCs/>
                    </w:rPr>
                  </w:pPr>
                  <w:r w:rsidRPr="00C90D4C">
                    <w:rPr>
                      <w:rFonts w:ascii="Arial Narrow" w:hAnsi="Arial Narrow" w:cs="Arial"/>
                      <w:bCs/>
                    </w:rPr>
                    <w:t>F</w:t>
                  </w:r>
                </w:p>
              </w:tc>
              <w:tc>
                <w:tcPr>
                  <w:tcW w:w="813" w:type="dxa"/>
                  <w:vAlign w:val="bottom"/>
                </w:tcPr>
                <w:p w14:paraId="0BF48CD3" w14:textId="77777777" w:rsidR="00C90D4C" w:rsidRPr="00C90D4C" w:rsidRDefault="00C90D4C" w:rsidP="00C90D4C">
                  <w:pPr>
                    <w:rPr>
                      <w:rFonts w:ascii="Arial Narrow" w:hAnsi="Arial Narrow" w:cs="Arial"/>
                      <w:bCs/>
                    </w:rPr>
                  </w:pPr>
                  <w:r w:rsidRPr="00C90D4C">
                    <w:rPr>
                      <w:rFonts w:ascii="Arial Narrow" w:hAnsi="Arial Narrow" w:cs="Arial"/>
                      <w:bCs/>
                    </w:rPr>
                    <w:t>M</w:t>
                  </w:r>
                </w:p>
              </w:tc>
              <w:tc>
                <w:tcPr>
                  <w:tcW w:w="827" w:type="dxa"/>
                  <w:vAlign w:val="bottom"/>
                </w:tcPr>
                <w:p w14:paraId="3FCB4522" w14:textId="77777777" w:rsidR="00C90D4C" w:rsidRPr="00C90D4C" w:rsidRDefault="00C90D4C" w:rsidP="00C90D4C">
                  <w:pPr>
                    <w:rPr>
                      <w:rFonts w:ascii="Arial Narrow" w:hAnsi="Arial Narrow" w:cs="Arial"/>
                      <w:bCs/>
                    </w:rPr>
                  </w:pPr>
                  <w:r w:rsidRPr="00C90D4C">
                    <w:rPr>
                      <w:rFonts w:ascii="Arial Narrow" w:hAnsi="Arial Narrow" w:cs="Arial"/>
                      <w:bCs/>
                    </w:rPr>
                    <w:t>F</w:t>
                  </w:r>
                </w:p>
              </w:tc>
              <w:tc>
                <w:tcPr>
                  <w:tcW w:w="2141" w:type="dxa"/>
                  <w:vMerge w:val="restart"/>
                  <w:vAlign w:val="center"/>
                </w:tcPr>
                <w:p w14:paraId="7427F1F4" w14:textId="77777777" w:rsidR="00C90D4C" w:rsidRPr="00C90D4C" w:rsidRDefault="00C90D4C" w:rsidP="00C90D4C">
                  <w:pPr>
                    <w:rPr>
                      <w:rFonts w:ascii="Arial Narrow" w:hAnsi="Arial Narrow" w:cs="Arial"/>
                      <w:bCs/>
                    </w:rPr>
                  </w:pPr>
                  <w:r w:rsidRPr="00C90D4C">
                    <w:rPr>
                      <w:rFonts w:ascii="Arial Narrow" w:hAnsi="Arial Narrow" w:cs="Arial"/>
                      <w:bCs/>
                    </w:rPr>
                    <w:t xml:space="preserve">100% </w:t>
                  </w:r>
                </w:p>
              </w:tc>
            </w:tr>
            <w:tr w:rsidR="00C90D4C" w:rsidRPr="00C90D4C" w14:paraId="26FE8228" w14:textId="77777777" w:rsidTr="00020F2A">
              <w:trPr>
                <w:trHeight w:val="338"/>
              </w:trPr>
              <w:tc>
                <w:tcPr>
                  <w:tcW w:w="4368" w:type="dxa"/>
                  <w:vMerge/>
                </w:tcPr>
                <w:p w14:paraId="56E6187E" w14:textId="77777777" w:rsidR="00C90D4C" w:rsidRPr="00C90D4C" w:rsidRDefault="00C90D4C" w:rsidP="00C90D4C">
                  <w:pPr>
                    <w:rPr>
                      <w:rFonts w:ascii="Arial Narrow" w:hAnsi="Arial Narrow" w:cs="Arial"/>
                      <w:b/>
                      <w:bCs/>
                    </w:rPr>
                  </w:pPr>
                </w:p>
              </w:tc>
              <w:tc>
                <w:tcPr>
                  <w:tcW w:w="2512" w:type="dxa"/>
                  <w:vAlign w:val="bottom"/>
                </w:tcPr>
                <w:p w14:paraId="544684EC" w14:textId="77777777" w:rsidR="00C90D4C" w:rsidRPr="00C90D4C" w:rsidRDefault="00C90D4C" w:rsidP="00C90D4C">
                  <w:pPr>
                    <w:rPr>
                      <w:rFonts w:ascii="Arial Narrow" w:hAnsi="Arial Narrow" w:cs="Arial"/>
                      <w:bCs/>
                    </w:rPr>
                  </w:pPr>
                  <w:r w:rsidRPr="00C90D4C">
                    <w:rPr>
                      <w:rFonts w:ascii="Arial Narrow" w:hAnsi="Arial Narrow" w:cs="Arial"/>
                      <w:bCs/>
                    </w:rPr>
                    <w:t>40,75%</w:t>
                  </w:r>
                </w:p>
              </w:tc>
              <w:tc>
                <w:tcPr>
                  <w:tcW w:w="935" w:type="dxa"/>
                  <w:vAlign w:val="bottom"/>
                </w:tcPr>
                <w:p w14:paraId="306621D6" w14:textId="77777777" w:rsidR="00C90D4C" w:rsidRPr="00C90D4C" w:rsidRDefault="00C90D4C" w:rsidP="00C90D4C">
                  <w:pPr>
                    <w:rPr>
                      <w:rFonts w:ascii="Arial Narrow" w:hAnsi="Arial Narrow" w:cs="Arial"/>
                      <w:bCs/>
                    </w:rPr>
                  </w:pPr>
                  <w:r w:rsidRPr="00C90D4C">
                    <w:rPr>
                      <w:rFonts w:ascii="Arial Narrow" w:hAnsi="Arial Narrow" w:cs="Arial"/>
                      <w:bCs/>
                    </w:rPr>
                    <w:t>52,26%</w:t>
                  </w:r>
                </w:p>
              </w:tc>
              <w:tc>
                <w:tcPr>
                  <w:tcW w:w="813" w:type="dxa"/>
                  <w:vAlign w:val="bottom"/>
                </w:tcPr>
                <w:p w14:paraId="592CC8E3" w14:textId="77777777" w:rsidR="00C90D4C" w:rsidRPr="00C90D4C" w:rsidRDefault="00C90D4C" w:rsidP="00C90D4C">
                  <w:pPr>
                    <w:rPr>
                      <w:rFonts w:ascii="Arial Narrow" w:hAnsi="Arial Narrow" w:cs="Arial"/>
                      <w:bCs/>
                    </w:rPr>
                  </w:pPr>
                  <w:r w:rsidRPr="00C90D4C">
                    <w:rPr>
                      <w:rFonts w:ascii="Arial Narrow" w:hAnsi="Arial Narrow" w:cs="Arial"/>
                      <w:bCs/>
                    </w:rPr>
                    <w:t>0,78%</w:t>
                  </w:r>
                </w:p>
              </w:tc>
              <w:tc>
                <w:tcPr>
                  <w:tcW w:w="813" w:type="dxa"/>
                  <w:vAlign w:val="bottom"/>
                </w:tcPr>
                <w:p w14:paraId="26238482" w14:textId="77777777" w:rsidR="00C90D4C" w:rsidRPr="00DC4D05" w:rsidRDefault="00C90D4C" w:rsidP="00C90D4C">
                  <w:pPr>
                    <w:rPr>
                      <w:rFonts w:ascii="Arial Narrow" w:hAnsi="Arial Narrow" w:cs="Arial"/>
                      <w:bCs/>
                    </w:rPr>
                  </w:pPr>
                  <w:r w:rsidRPr="00DC4D05">
                    <w:rPr>
                      <w:rFonts w:ascii="Arial Narrow" w:hAnsi="Arial Narrow" w:cs="Arial"/>
                      <w:bCs/>
                    </w:rPr>
                    <w:t>2,95%</w:t>
                  </w:r>
                </w:p>
              </w:tc>
              <w:tc>
                <w:tcPr>
                  <w:tcW w:w="818" w:type="dxa"/>
                  <w:vAlign w:val="bottom"/>
                </w:tcPr>
                <w:p w14:paraId="3B9F331D" w14:textId="77777777" w:rsidR="00C90D4C" w:rsidRPr="00DC4D05" w:rsidRDefault="00C90D4C" w:rsidP="00C90D4C">
                  <w:pPr>
                    <w:rPr>
                      <w:rFonts w:ascii="Arial Narrow" w:hAnsi="Arial Narrow" w:cs="Arial"/>
                      <w:bCs/>
                    </w:rPr>
                  </w:pPr>
                  <w:r w:rsidRPr="00DC4D05">
                    <w:rPr>
                      <w:rFonts w:ascii="Arial Narrow" w:hAnsi="Arial Narrow" w:cs="Arial"/>
                      <w:bCs/>
                    </w:rPr>
                    <w:t>0,78%</w:t>
                  </w:r>
                </w:p>
              </w:tc>
              <w:tc>
                <w:tcPr>
                  <w:tcW w:w="818" w:type="dxa"/>
                  <w:vAlign w:val="bottom"/>
                </w:tcPr>
                <w:p w14:paraId="6578A8BD" w14:textId="77777777" w:rsidR="00C90D4C" w:rsidRPr="00DC4D05" w:rsidRDefault="00C90D4C" w:rsidP="00C90D4C">
                  <w:pPr>
                    <w:rPr>
                      <w:rFonts w:ascii="Arial Narrow" w:hAnsi="Arial Narrow" w:cs="Arial"/>
                      <w:bCs/>
                    </w:rPr>
                  </w:pPr>
                  <w:r w:rsidRPr="00DC4D05">
                    <w:rPr>
                      <w:rFonts w:ascii="Arial Narrow" w:hAnsi="Arial Narrow" w:cs="Arial"/>
                      <w:bCs/>
                    </w:rPr>
                    <w:t>2,95%</w:t>
                  </w:r>
                </w:p>
              </w:tc>
              <w:tc>
                <w:tcPr>
                  <w:tcW w:w="813" w:type="dxa"/>
                </w:tcPr>
                <w:p w14:paraId="60EE4641" w14:textId="77777777" w:rsidR="00C90D4C" w:rsidRPr="00C90D4C" w:rsidRDefault="00C90D4C" w:rsidP="00C90D4C">
                  <w:pPr>
                    <w:rPr>
                      <w:rFonts w:ascii="Arial Narrow" w:hAnsi="Arial Narrow" w:cs="Arial"/>
                      <w:bCs/>
                    </w:rPr>
                  </w:pPr>
                  <w:r w:rsidRPr="00C90D4C">
                    <w:rPr>
                      <w:rFonts w:ascii="Arial Narrow" w:hAnsi="Arial Narrow" w:cs="Arial"/>
                      <w:bCs/>
                    </w:rPr>
                    <w:t>0,62%</w:t>
                  </w:r>
                </w:p>
              </w:tc>
              <w:tc>
                <w:tcPr>
                  <w:tcW w:w="827" w:type="dxa"/>
                </w:tcPr>
                <w:p w14:paraId="300A2586" w14:textId="77777777" w:rsidR="00C90D4C" w:rsidRPr="00C90D4C" w:rsidRDefault="00C90D4C" w:rsidP="00C90D4C">
                  <w:pPr>
                    <w:rPr>
                      <w:rFonts w:ascii="Arial Narrow" w:hAnsi="Arial Narrow" w:cs="Arial"/>
                      <w:bCs/>
                    </w:rPr>
                  </w:pPr>
                  <w:r w:rsidRPr="00C90D4C">
                    <w:rPr>
                      <w:rFonts w:ascii="Arial Narrow" w:hAnsi="Arial Narrow" w:cs="Arial"/>
                      <w:bCs/>
                    </w:rPr>
                    <w:t>1,40%</w:t>
                  </w:r>
                </w:p>
              </w:tc>
              <w:tc>
                <w:tcPr>
                  <w:tcW w:w="2141" w:type="dxa"/>
                  <w:vMerge/>
                </w:tcPr>
                <w:p w14:paraId="104E4D77" w14:textId="77777777" w:rsidR="00C90D4C" w:rsidRPr="00C90D4C" w:rsidRDefault="00C90D4C" w:rsidP="00C90D4C">
                  <w:pPr>
                    <w:rPr>
                      <w:rFonts w:ascii="Arial Narrow" w:hAnsi="Arial Narrow" w:cs="Arial"/>
                      <w:bCs/>
                    </w:rPr>
                  </w:pPr>
                </w:p>
              </w:tc>
            </w:tr>
            <w:tr w:rsidR="00C90D4C" w:rsidRPr="00C90D4C" w14:paraId="30B5B9CB" w14:textId="77777777" w:rsidTr="00020F2A">
              <w:trPr>
                <w:trHeight w:val="50"/>
              </w:trPr>
              <w:tc>
                <w:tcPr>
                  <w:tcW w:w="4368" w:type="dxa"/>
                  <w:vMerge/>
                </w:tcPr>
                <w:p w14:paraId="0CD40DA7" w14:textId="77777777" w:rsidR="00C90D4C" w:rsidRPr="00C90D4C" w:rsidRDefault="00C90D4C" w:rsidP="00C90D4C">
                  <w:pPr>
                    <w:rPr>
                      <w:rFonts w:ascii="Arial Narrow" w:hAnsi="Arial Narrow" w:cs="Arial"/>
                      <w:b/>
                      <w:bCs/>
                    </w:rPr>
                  </w:pPr>
                </w:p>
              </w:tc>
              <w:tc>
                <w:tcPr>
                  <w:tcW w:w="3447" w:type="dxa"/>
                  <w:gridSpan w:val="2"/>
                  <w:vAlign w:val="bottom"/>
                </w:tcPr>
                <w:p w14:paraId="3E1C8055" w14:textId="77777777" w:rsidR="00C90D4C" w:rsidRPr="00C90D4C" w:rsidRDefault="00C90D4C" w:rsidP="00C90D4C">
                  <w:pPr>
                    <w:rPr>
                      <w:rFonts w:ascii="Arial Narrow" w:hAnsi="Arial Narrow" w:cs="Arial"/>
                      <w:bCs/>
                    </w:rPr>
                  </w:pPr>
                </w:p>
              </w:tc>
              <w:tc>
                <w:tcPr>
                  <w:tcW w:w="1626" w:type="dxa"/>
                  <w:gridSpan w:val="2"/>
                  <w:vAlign w:val="bottom"/>
                </w:tcPr>
                <w:p w14:paraId="66740D5A" w14:textId="77777777" w:rsidR="00C90D4C" w:rsidRPr="00C90D4C" w:rsidRDefault="00C90D4C" w:rsidP="00C90D4C">
                  <w:pPr>
                    <w:rPr>
                      <w:rFonts w:ascii="Arial Narrow" w:hAnsi="Arial Narrow" w:cs="Arial"/>
                      <w:bCs/>
                    </w:rPr>
                  </w:pPr>
                </w:p>
              </w:tc>
              <w:tc>
                <w:tcPr>
                  <w:tcW w:w="1636" w:type="dxa"/>
                  <w:gridSpan w:val="2"/>
                  <w:vAlign w:val="bottom"/>
                </w:tcPr>
                <w:p w14:paraId="0D3112AF" w14:textId="77777777" w:rsidR="00C90D4C" w:rsidRPr="00C90D4C" w:rsidRDefault="00C90D4C" w:rsidP="00C90D4C">
                  <w:pPr>
                    <w:rPr>
                      <w:rFonts w:ascii="Arial Narrow" w:hAnsi="Arial Narrow" w:cs="Arial"/>
                      <w:b/>
                      <w:bCs/>
                    </w:rPr>
                  </w:pPr>
                </w:p>
              </w:tc>
              <w:tc>
                <w:tcPr>
                  <w:tcW w:w="1640" w:type="dxa"/>
                  <w:gridSpan w:val="2"/>
                </w:tcPr>
                <w:p w14:paraId="2EA68703" w14:textId="77777777" w:rsidR="00C90D4C" w:rsidRPr="00C90D4C" w:rsidRDefault="00C90D4C" w:rsidP="00C90D4C">
                  <w:pPr>
                    <w:rPr>
                      <w:rFonts w:ascii="Arial Narrow" w:hAnsi="Arial Narrow" w:cs="Arial"/>
                      <w:bCs/>
                    </w:rPr>
                  </w:pPr>
                </w:p>
              </w:tc>
              <w:tc>
                <w:tcPr>
                  <w:tcW w:w="2141" w:type="dxa"/>
                  <w:vMerge/>
                </w:tcPr>
                <w:p w14:paraId="459643D9" w14:textId="77777777" w:rsidR="00C90D4C" w:rsidRPr="00C90D4C" w:rsidRDefault="00C90D4C" w:rsidP="00C90D4C">
                  <w:pPr>
                    <w:rPr>
                      <w:rFonts w:ascii="Arial Narrow" w:hAnsi="Arial Narrow" w:cs="Arial"/>
                      <w:bCs/>
                    </w:rPr>
                  </w:pPr>
                </w:p>
              </w:tc>
            </w:tr>
          </w:tbl>
          <w:p w14:paraId="72226E28" w14:textId="19A39D1A" w:rsidR="00EB0B54" w:rsidRPr="009D467E" w:rsidRDefault="00EB0B54" w:rsidP="009D467E">
            <w:pPr>
              <w:rPr>
                <w:rFonts w:ascii="Arial Narrow" w:hAnsi="Arial Narrow" w:cs="Arial"/>
                <w:bCs/>
              </w:rPr>
            </w:pPr>
          </w:p>
        </w:tc>
      </w:tr>
      <w:tr w:rsidR="00EB0B54" w:rsidRPr="006C3E18" w14:paraId="4257C472" w14:textId="77777777" w:rsidTr="00AD7BCF">
        <w:tc>
          <w:tcPr>
            <w:tcW w:w="13892" w:type="dxa"/>
            <w:shd w:val="clear" w:color="auto" w:fill="F2F2F2" w:themeFill="background1" w:themeFillShade="F2"/>
          </w:tcPr>
          <w:p w14:paraId="5C2CEB9D" w14:textId="77777777" w:rsidR="00EB0B54" w:rsidRPr="006C3E18" w:rsidRDefault="00EB0B54" w:rsidP="00995C26">
            <w:pPr>
              <w:spacing w:line="276" w:lineRule="auto"/>
              <w:rPr>
                <w:rFonts w:ascii="Arial Narrow" w:hAnsi="Arial Narrow"/>
              </w:rPr>
            </w:pPr>
            <w:r w:rsidRPr="006C3E18">
              <w:rPr>
                <w:rFonts w:ascii="Arial Narrow" w:hAnsi="Arial Narrow"/>
                <w:b/>
              </w:rPr>
              <w:t>Detailed information on any suspensions for the period under review</w:t>
            </w:r>
          </w:p>
        </w:tc>
      </w:tr>
      <w:tr w:rsidR="00EB0B54" w:rsidRPr="006C3E18" w14:paraId="0449CF15" w14:textId="77777777" w:rsidTr="00AD7BCF">
        <w:tc>
          <w:tcPr>
            <w:tcW w:w="13892" w:type="dxa"/>
          </w:tcPr>
          <w:p w14:paraId="3C181E29" w14:textId="2263F01F" w:rsidR="00EB0B54" w:rsidRPr="006C3E18" w:rsidRDefault="008611B3" w:rsidP="00995C26">
            <w:pPr>
              <w:spacing w:line="276" w:lineRule="auto"/>
              <w:rPr>
                <w:rFonts w:ascii="Arial Narrow" w:hAnsi="Arial Narrow" w:cs="Arial"/>
                <w:bCs/>
              </w:rPr>
            </w:pPr>
            <w:r w:rsidRPr="006C3E18">
              <w:rPr>
                <w:rFonts w:ascii="Arial Narrow" w:hAnsi="Arial Narrow" w:cs="Arial"/>
                <w:bCs/>
              </w:rPr>
              <w:t>0</w:t>
            </w:r>
          </w:p>
        </w:tc>
      </w:tr>
    </w:tbl>
    <w:p w14:paraId="5FA252DA" w14:textId="0DC18DD0" w:rsidR="00EB0125" w:rsidRPr="006C3E18" w:rsidRDefault="00EB0125" w:rsidP="00EB0125">
      <w:pPr>
        <w:pStyle w:val="Heading1"/>
        <w:shd w:val="clear" w:color="auto" w:fill="D9D9D9" w:themeFill="background1" w:themeFillShade="D9"/>
        <w:rPr>
          <w:rFonts w:ascii="Arial Narrow" w:hAnsi="Arial Narrow"/>
          <w:color w:val="auto"/>
          <w:sz w:val="22"/>
          <w:szCs w:val="22"/>
        </w:rPr>
      </w:pPr>
      <w:bookmarkStart w:id="22" w:name="_Toc50576921"/>
      <w:r w:rsidRPr="006C3E18">
        <w:rPr>
          <w:rFonts w:ascii="Arial Narrow" w:hAnsi="Arial Narrow"/>
          <w:color w:val="auto"/>
          <w:sz w:val="22"/>
          <w:szCs w:val="22"/>
        </w:rPr>
        <w:t>11</w:t>
      </w:r>
      <w:r w:rsidR="00AF23BE">
        <w:rPr>
          <w:rFonts w:ascii="Arial Narrow" w:hAnsi="Arial Narrow"/>
          <w:color w:val="auto"/>
          <w:sz w:val="22"/>
          <w:szCs w:val="22"/>
        </w:rPr>
        <w:t>.</w:t>
      </w:r>
      <w:r w:rsidRPr="006C3E18">
        <w:rPr>
          <w:rFonts w:ascii="Arial Narrow" w:hAnsi="Arial Narrow"/>
          <w:color w:val="auto"/>
          <w:sz w:val="22"/>
          <w:szCs w:val="22"/>
        </w:rPr>
        <w:tab/>
        <w:t>OVERSIGHT ON ANY OTHER COMMITTEE FOCUS AREA</w:t>
      </w:r>
      <w:bookmarkEnd w:id="22"/>
      <w:r w:rsidRPr="006C3E18">
        <w:rPr>
          <w:rFonts w:ascii="Arial Narrow" w:hAnsi="Arial Narrow"/>
          <w:color w:val="auto"/>
          <w:sz w:val="22"/>
          <w:szCs w:val="22"/>
        </w:rPr>
        <w:t xml:space="preserve"> </w:t>
      </w:r>
    </w:p>
    <w:tbl>
      <w:tblPr>
        <w:tblStyle w:val="TableGrid"/>
        <w:tblW w:w="13892" w:type="dxa"/>
        <w:tblInd w:w="-5" w:type="dxa"/>
        <w:tblLook w:val="04A0" w:firstRow="1" w:lastRow="0" w:firstColumn="1" w:lastColumn="0" w:noHBand="0" w:noVBand="1"/>
      </w:tblPr>
      <w:tblGrid>
        <w:gridCol w:w="13892"/>
      </w:tblGrid>
      <w:tr w:rsidR="00EB0125" w:rsidRPr="006C3E18" w14:paraId="5E8E572E" w14:textId="77777777" w:rsidTr="00AD7BCF">
        <w:tc>
          <w:tcPr>
            <w:tcW w:w="13892" w:type="dxa"/>
            <w:shd w:val="clear" w:color="auto" w:fill="D6E3BC" w:themeFill="accent3" w:themeFillTint="66"/>
          </w:tcPr>
          <w:p w14:paraId="0494E127" w14:textId="61A6EC01" w:rsidR="00EB0125" w:rsidRPr="006C3E18" w:rsidRDefault="009B42A0" w:rsidP="000F7DFB">
            <w:pPr>
              <w:rPr>
                <w:rFonts w:ascii="Arial Narrow" w:hAnsi="Arial Narrow"/>
                <w:b/>
              </w:rPr>
            </w:pPr>
            <w:r w:rsidRPr="006C3E18">
              <w:rPr>
                <w:rFonts w:ascii="Arial Narrow" w:hAnsi="Arial Narrow"/>
                <w:b/>
              </w:rPr>
              <w:t xml:space="preserve">11. </w:t>
            </w:r>
            <w:r w:rsidR="00EB0125" w:rsidRPr="006C3E18">
              <w:rPr>
                <w:rFonts w:ascii="Arial Narrow" w:hAnsi="Arial Narrow"/>
                <w:b/>
              </w:rPr>
              <w:t>THE DETAILS ON ANY OTHER COMMITTEE FOCUS AREA</w:t>
            </w:r>
            <w:r w:rsidRPr="006C3E18">
              <w:rPr>
                <w:rFonts w:ascii="Arial Narrow" w:hAnsi="Arial Narrow"/>
                <w:b/>
              </w:rPr>
              <w:t xml:space="preserve"> [Only if relevant and applicable]</w:t>
            </w:r>
          </w:p>
        </w:tc>
      </w:tr>
      <w:tr w:rsidR="00EB0125" w:rsidRPr="006C3E18" w14:paraId="1CA4A637" w14:textId="77777777" w:rsidTr="00AD7BCF">
        <w:tc>
          <w:tcPr>
            <w:tcW w:w="13892" w:type="dxa"/>
            <w:shd w:val="clear" w:color="auto" w:fill="D9D9D9" w:themeFill="background1" w:themeFillShade="D9"/>
          </w:tcPr>
          <w:p w14:paraId="15B35A87" w14:textId="4DCCA891" w:rsidR="00EB0125" w:rsidRPr="006C3E18" w:rsidRDefault="00EB0125" w:rsidP="000F7DFB">
            <w:pPr>
              <w:rPr>
                <w:rFonts w:ascii="Arial Narrow" w:hAnsi="Arial Narrow"/>
                <w:bCs/>
                <w:i/>
                <w:iCs/>
              </w:rPr>
            </w:pPr>
            <w:r w:rsidRPr="006C3E18">
              <w:rPr>
                <w:rFonts w:ascii="Arial Narrow" w:hAnsi="Arial Narrow"/>
                <w:bCs/>
                <w:i/>
                <w:iCs/>
              </w:rPr>
              <w:t xml:space="preserve">Any other area of </w:t>
            </w:r>
            <w:r w:rsidR="00D74068" w:rsidRPr="006C3E18">
              <w:rPr>
                <w:rFonts w:ascii="Arial Narrow" w:hAnsi="Arial Narrow"/>
                <w:bCs/>
                <w:i/>
                <w:iCs/>
              </w:rPr>
              <w:t>Department / Entity</w:t>
            </w:r>
            <w:r w:rsidRPr="006C3E18">
              <w:rPr>
                <w:rFonts w:ascii="Arial Narrow" w:hAnsi="Arial Narrow"/>
                <w:bCs/>
                <w:i/>
                <w:iCs/>
              </w:rPr>
              <w:t xml:space="preserve"> performance with respect to its Quarter Report that the Committee wishes to report on, which is not already included in any of the above Focus Areas.</w:t>
            </w:r>
          </w:p>
        </w:tc>
      </w:tr>
      <w:tr w:rsidR="00EB0125" w:rsidRPr="006C3E18" w14:paraId="0233AE46" w14:textId="77777777" w:rsidTr="00AD7BCF">
        <w:tc>
          <w:tcPr>
            <w:tcW w:w="13892" w:type="dxa"/>
          </w:tcPr>
          <w:p w14:paraId="071315B0" w14:textId="3ABC77F9" w:rsidR="00EB0125" w:rsidRPr="006C3E18" w:rsidRDefault="00F10B30" w:rsidP="000F7DFB">
            <w:pPr>
              <w:rPr>
                <w:rFonts w:ascii="Arial Narrow" w:hAnsi="Arial Narrow" w:cs="Arial"/>
              </w:rPr>
            </w:pPr>
            <w:r w:rsidRPr="006C3E18">
              <w:rPr>
                <w:rFonts w:ascii="Arial Narrow" w:hAnsi="Arial Narrow" w:cs="Arial"/>
              </w:rPr>
              <w:t>N/A</w:t>
            </w:r>
          </w:p>
        </w:tc>
      </w:tr>
    </w:tbl>
    <w:p w14:paraId="103088C4" w14:textId="556A29B8" w:rsidR="00CD13FD" w:rsidRPr="00753223" w:rsidRDefault="00CD13FD" w:rsidP="00CD13FD">
      <w:pPr>
        <w:pStyle w:val="Heading1"/>
        <w:shd w:val="clear" w:color="auto" w:fill="D9D9D9" w:themeFill="background1" w:themeFillShade="D9"/>
        <w:rPr>
          <w:rFonts w:ascii="Arial Narrow" w:hAnsi="Arial Narrow"/>
          <w:color w:val="auto"/>
          <w:sz w:val="22"/>
          <w:szCs w:val="22"/>
        </w:rPr>
      </w:pPr>
      <w:bookmarkStart w:id="23" w:name="_Toc50576922"/>
      <w:r w:rsidRPr="006C3E18">
        <w:rPr>
          <w:rFonts w:ascii="Arial Narrow" w:hAnsi="Arial Narrow"/>
          <w:color w:val="auto"/>
          <w:sz w:val="22"/>
          <w:szCs w:val="22"/>
        </w:rPr>
        <w:t>12</w:t>
      </w:r>
      <w:r w:rsidR="00AF23BE">
        <w:rPr>
          <w:rFonts w:ascii="Arial Narrow" w:hAnsi="Arial Narrow"/>
          <w:color w:val="auto"/>
          <w:sz w:val="22"/>
          <w:szCs w:val="22"/>
        </w:rPr>
        <w:t>.</w:t>
      </w:r>
      <w:r w:rsidRPr="006C3E18">
        <w:rPr>
          <w:rFonts w:ascii="Arial Narrow" w:hAnsi="Arial Narrow"/>
          <w:color w:val="auto"/>
          <w:sz w:val="22"/>
          <w:szCs w:val="22"/>
        </w:rPr>
        <w:tab/>
      </w:r>
      <w:r w:rsidRPr="00753223">
        <w:rPr>
          <w:rFonts w:ascii="Arial Narrow" w:hAnsi="Arial Narrow"/>
          <w:color w:val="auto"/>
          <w:sz w:val="22"/>
          <w:szCs w:val="22"/>
        </w:rPr>
        <w:t>COMMITTEE FINDINGS / CONCERNS</w:t>
      </w:r>
      <w:bookmarkEnd w:id="23"/>
      <w:r w:rsidRPr="00753223">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13887"/>
      </w:tblGrid>
      <w:tr w:rsidR="006C3E18" w:rsidRPr="00753223" w14:paraId="0DDA1E0E" w14:textId="77777777" w:rsidTr="00CD13FD">
        <w:trPr>
          <w:tblHeader/>
        </w:trPr>
        <w:tc>
          <w:tcPr>
            <w:tcW w:w="13887" w:type="dxa"/>
            <w:shd w:val="clear" w:color="auto" w:fill="D6E3BC" w:themeFill="accent3" w:themeFillTint="66"/>
          </w:tcPr>
          <w:p w14:paraId="008F2063" w14:textId="3B862A34" w:rsidR="00CD13FD" w:rsidRPr="00753223" w:rsidRDefault="00CD13FD" w:rsidP="000F7DFB">
            <w:pPr>
              <w:rPr>
                <w:rFonts w:ascii="Arial Narrow" w:hAnsi="Arial Narrow"/>
                <w:b/>
                <w:bCs/>
              </w:rPr>
            </w:pPr>
            <w:r w:rsidRPr="00753223">
              <w:rPr>
                <w:rFonts w:ascii="Arial Narrow" w:hAnsi="Arial Narrow"/>
                <w:b/>
                <w:bCs/>
              </w:rPr>
              <w:t xml:space="preserve">12. </w:t>
            </w:r>
            <w:r w:rsidR="00035362" w:rsidRPr="00753223">
              <w:rPr>
                <w:rFonts w:ascii="Arial Narrow" w:hAnsi="Arial Narrow"/>
                <w:b/>
                <w:bCs/>
              </w:rPr>
              <w:t xml:space="preserve">DETAILED </w:t>
            </w:r>
            <w:r w:rsidRPr="00753223">
              <w:rPr>
                <w:rFonts w:ascii="Arial Narrow" w:hAnsi="Arial Narrow"/>
                <w:b/>
                <w:bCs/>
              </w:rPr>
              <w:t>COMMITTEE FINDINGS / CONCERNS (on each specific Focus Area analysed above)</w:t>
            </w:r>
          </w:p>
        </w:tc>
      </w:tr>
      <w:tr w:rsidR="00560976" w:rsidRPr="006C3E18" w14:paraId="6475391E" w14:textId="77777777" w:rsidTr="000F7DFB">
        <w:tc>
          <w:tcPr>
            <w:tcW w:w="13887" w:type="dxa"/>
          </w:tcPr>
          <w:p w14:paraId="0C5CF023" w14:textId="2B3C68B2" w:rsidR="00560976" w:rsidRPr="00753223" w:rsidRDefault="00892E06" w:rsidP="00C93E82">
            <w:pPr>
              <w:pStyle w:val="ListParagraph"/>
              <w:numPr>
                <w:ilvl w:val="0"/>
                <w:numId w:val="8"/>
              </w:numPr>
              <w:rPr>
                <w:rFonts w:ascii="Arial Narrow" w:eastAsiaTheme="minorEastAsia" w:hAnsi="Arial Narrow"/>
              </w:rPr>
            </w:pPr>
            <w:r w:rsidRPr="00753223">
              <w:rPr>
                <w:rFonts w:ascii="Arial Narrow" w:eastAsiaTheme="minorEastAsia" w:hAnsi="Arial Narrow"/>
              </w:rPr>
              <w:t xml:space="preserve"> </w:t>
            </w:r>
            <w:r w:rsidR="00D20121" w:rsidRPr="00753223">
              <w:rPr>
                <w:rFonts w:ascii="Arial Narrow" w:eastAsiaTheme="minorEastAsia" w:hAnsi="Arial Narrow"/>
              </w:rPr>
              <w:t xml:space="preserve">Department </w:t>
            </w:r>
            <w:r w:rsidR="00D932C5" w:rsidRPr="00753223">
              <w:rPr>
                <w:rFonts w:ascii="Arial Narrow" w:eastAsiaTheme="minorEastAsia" w:hAnsi="Arial Narrow"/>
              </w:rPr>
              <w:t xml:space="preserve">could not </w:t>
            </w:r>
            <w:r w:rsidR="00540DEF">
              <w:rPr>
                <w:rFonts w:ascii="Arial Narrow" w:eastAsiaTheme="minorEastAsia" w:hAnsi="Arial Narrow"/>
              </w:rPr>
              <w:t>process</w:t>
            </w:r>
            <w:r w:rsidR="001A0E38" w:rsidRPr="00753223">
              <w:rPr>
                <w:rFonts w:ascii="Arial Narrow" w:eastAsiaTheme="minorEastAsia" w:hAnsi="Arial Narrow"/>
              </w:rPr>
              <w:t xml:space="preserve"> 100 %</w:t>
            </w:r>
            <w:r w:rsidR="00540DEF">
              <w:rPr>
                <w:rFonts w:ascii="Arial Narrow" w:eastAsiaTheme="minorEastAsia" w:hAnsi="Arial Narrow"/>
              </w:rPr>
              <w:t xml:space="preserve"> of</w:t>
            </w:r>
            <w:r w:rsidR="005D1FCE">
              <w:t xml:space="preserve"> </w:t>
            </w:r>
            <w:r w:rsidR="005D1FCE" w:rsidRPr="005D1FCE">
              <w:rPr>
                <w:rFonts w:ascii="Arial Narrow" w:eastAsiaTheme="minorEastAsia" w:hAnsi="Arial Narrow"/>
              </w:rPr>
              <w:t xml:space="preserve">invoices </w:t>
            </w:r>
            <w:r w:rsidR="00540DEF">
              <w:rPr>
                <w:rFonts w:ascii="Arial Narrow" w:eastAsiaTheme="minorEastAsia" w:hAnsi="Arial Narrow"/>
              </w:rPr>
              <w:t>receive</w:t>
            </w:r>
            <w:r w:rsidR="002721E2">
              <w:rPr>
                <w:rFonts w:ascii="Arial Narrow" w:eastAsiaTheme="minorEastAsia" w:hAnsi="Arial Narrow"/>
              </w:rPr>
              <w:t>d from</w:t>
            </w:r>
            <w:r w:rsidR="001A0E38" w:rsidRPr="00753223">
              <w:rPr>
                <w:rFonts w:ascii="Arial Narrow" w:eastAsiaTheme="minorEastAsia" w:hAnsi="Arial Narrow"/>
              </w:rPr>
              <w:t xml:space="preserve"> </w:t>
            </w:r>
            <w:r w:rsidR="00EE3C71">
              <w:rPr>
                <w:rFonts w:ascii="Arial Narrow" w:eastAsiaTheme="minorEastAsia" w:hAnsi="Arial Narrow"/>
              </w:rPr>
              <w:t xml:space="preserve">the </w:t>
            </w:r>
            <w:r w:rsidR="001A0E38" w:rsidRPr="00753223">
              <w:rPr>
                <w:rFonts w:ascii="Arial Narrow" w:eastAsiaTheme="minorEastAsia" w:hAnsi="Arial Narrow"/>
              </w:rPr>
              <w:t>service providers</w:t>
            </w:r>
            <w:r w:rsidR="00480141" w:rsidRPr="00753223">
              <w:rPr>
                <w:rFonts w:ascii="Arial Narrow" w:eastAsiaTheme="minorEastAsia" w:hAnsi="Arial Narrow"/>
              </w:rPr>
              <w:t xml:space="preserve"> within a period of 15 days due to system down</w:t>
            </w:r>
            <w:r w:rsidR="007A12C9" w:rsidRPr="00753223">
              <w:rPr>
                <w:rFonts w:ascii="Arial Narrow" w:eastAsiaTheme="minorEastAsia" w:hAnsi="Arial Narrow"/>
              </w:rPr>
              <w:t>time within SITA.</w:t>
            </w:r>
          </w:p>
        </w:tc>
      </w:tr>
      <w:tr w:rsidR="00560976" w:rsidRPr="006C3E18" w14:paraId="77C424E3" w14:textId="77777777" w:rsidTr="000F7DFB">
        <w:tc>
          <w:tcPr>
            <w:tcW w:w="13887" w:type="dxa"/>
          </w:tcPr>
          <w:p w14:paraId="001D1BE7" w14:textId="6B10F0CC" w:rsidR="00560976" w:rsidRPr="001E7E98" w:rsidRDefault="00EA23D1" w:rsidP="001E7E98">
            <w:pPr>
              <w:pStyle w:val="ListParagraph"/>
              <w:numPr>
                <w:ilvl w:val="0"/>
                <w:numId w:val="8"/>
              </w:numPr>
              <w:rPr>
                <w:rFonts w:ascii="Arial Narrow" w:eastAsiaTheme="minorEastAsia" w:hAnsi="Arial Narrow"/>
              </w:rPr>
            </w:pPr>
            <w:r>
              <w:rPr>
                <w:rFonts w:ascii="Arial Narrow" w:eastAsiaTheme="minorEastAsia" w:hAnsi="Arial Narrow"/>
              </w:rPr>
              <w:t>Due to poor planning</w:t>
            </w:r>
            <w:r w:rsidR="00E90726">
              <w:rPr>
                <w:rFonts w:ascii="Arial Narrow" w:eastAsiaTheme="minorEastAsia" w:hAnsi="Arial Narrow"/>
              </w:rPr>
              <w:t xml:space="preserve"> that has led to late appointments of </w:t>
            </w:r>
            <w:r w:rsidR="002C26B3">
              <w:rPr>
                <w:rFonts w:ascii="Arial Narrow" w:eastAsiaTheme="minorEastAsia" w:hAnsi="Arial Narrow"/>
              </w:rPr>
              <w:t>a</w:t>
            </w:r>
            <w:r w:rsidR="00E90726">
              <w:rPr>
                <w:rFonts w:ascii="Arial Narrow" w:eastAsiaTheme="minorEastAsia" w:hAnsi="Arial Narrow"/>
              </w:rPr>
              <w:t xml:space="preserve"> suitable service provider, the </w:t>
            </w:r>
            <w:r w:rsidR="006C728B">
              <w:rPr>
                <w:rFonts w:ascii="Arial Narrow" w:eastAsiaTheme="minorEastAsia" w:hAnsi="Arial Narrow"/>
              </w:rPr>
              <w:t xml:space="preserve">target </w:t>
            </w:r>
            <w:r w:rsidR="008C7C12">
              <w:rPr>
                <w:rFonts w:ascii="Arial Narrow" w:eastAsiaTheme="minorEastAsia" w:hAnsi="Arial Narrow"/>
              </w:rPr>
              <w:t xml:space="preserve">of </w:t>
            </w:r>
            <w:r w:rsidR="006C728B">
              <w:rPr>
                <w:rFonts w:ascii="Arial Narrow" w:eastAsiaTheme="minorEastAsia" w:hAnsi="Arial Narrow"/>
              </w:rPr>
              <w:t>implement</w:t>
            </w:r>
            <w:r w:rsidR="00F4477D">
              <w:rPr>
                <w:rFonts w:ascii="Arial Narrow" w:eastAsiaTheme="minorEastAsia" w:hAnsi="Arial Narrow"/>
              </w:rPr>
              <w:t>ing</w:t>
            </w:r>
            <w:r w:rsidR="0085422F">
              <w:rPr>
                <w:rFonts w:ascii="Arial Narrow" w:eastAsiaTheme="minorEastAsia" w:hAnsi="Arial Narrow"/>
              </w:rPr>
              <w:t xml:space="preserve"> </w:t>
            </w:r>
            <w:r w:rsidR="008C7C12">
              <w:rPr>
                <w:rFonts w:ascii="Arial Narrow" w:eastAsiaTheme="minorEastAsia" w:hAnsi="Arial Narrow"/>
              </w:rPr>
              <w:t xml:space="preserve">the </w:t>
            </w:r>
            <w:r w:rsidR="006C728B" w:rsidRPr="006C728B">
              <w:rPr>
                <w:rFonts w:ascii="Arial Narrow" w:eastAsiaTheme="minorEastAsia" w:hAnsi="Arial Narrow"/>
              </w:rPr>
              <w:t>two (2) powers and functions of the single-tier system of government pillars in line with the approved plans</w:t>
            </w:r>
            <w:r w:rsidR="006D6EDE">
              <w:rPr>
                <w:rFonts w:ascii="Arial Narrow" w:eastAsiaTheme="minorEastAsia" w:hAnsi="Arial Narrow"/>
              </w:rPr>
              <w:t xml:space="preserve"> was not achieved.</w:t>
            </w:r>
          </w:p>
        </w:tc>
      </w:tr>
      <w:tr w:rsidR="00560976" w:rsidRPr="006C3E18" w14:paraId="27986D01" w14:textId="77777777" w:rsidTr="000F7DFB">
        <w:tc>
          <w:tcPr>
            <w:tcW w:w="13887" w:type="dxa"/>
          </w:tcPr>
          <w:p w14:paraId="3AC80C9B" w14:textId="456BC27B" w:rsidR="00560976" w:rsidRPr="00A5230D" w:rsidRDefault="002B6AF0" w:rsidP="00A5230D">
            <w:pPr>
              <w:pStyle w:val="ListParagraph"/>
              <w:numPr>
                <w:ilvl w:val="0"/>
                <w:numId w:val="8"/>
              </w:numPr>
              <w:rPr>
                <w:rFonts w:ascii="Arial Narrow" w:eastAsiaTheme="minorEastAsia" w:hAnsi="Arial Narrow"/>
              </w:rPr>
            </w:pPr>
            <w:r>
              <w:rPr>
                <w:rFonts w:ascii="Arial Narrow" w:eastAsiaTheme="minorEastAsia" w:hAnsi="Arial Narrow"/>
              </w:rPr>
              <w:t>T</w:t>
            </w:r>
            <w:r w:rsidR="00D73ED5">
              <w:rPr>
                <w:rFonts w:ascii="Arial Narrow" w:eastAsiaTheme="minorEastAsia" w:hAnsi="Arial Narrow"/>
              </w:rPr>
              <w:t xml:space="preserve">he Portfolio Committee is gravely concerned that to date the City of Tshwane </w:t>
            </w:r>
            <w:r w:rsidR="009D10F6">
              <w:rPr>
                <w:rFonts w:ascii="Arial Narrow" w:eastAsiaTheme="minorEastAsia" w:hAnsi="Arial Narrow"/>
              </w:rPr>
              <w:t xml:space="preserve">does not have </w:t>
            </w:r>
            <w:r w:rsidR="009D10F6" w:rsidRPr="009D10F6">
              <w:rPr>
                <w:rFonts w:ascii="Arial Narrow" w:eastAsiaTheme="minorEastAsia" w:hAnsi="Arial Narrow"/>
              </w:rPr>
              <w:t xml:space="preserve">supported </w:t>
            </w:r>
            <w:r w:rsidR="004A5CDE">
              <w:rPr>
                <w:rFonts w:ascii="Arial Narrow" w:eastAsiaTheme="minorEastAsia" w:hAnsi="Arial Narrow"/>
              </w:rPr>
              <w:t>and</w:t>
            </w:r>
            <w:r w:rsidR="009D10F6" w:rsidRPr="009D10F6">
              <w:rPr>
                <w:rFonts w:ascii="Arial Narrow" w:eastAsiaTheme="minorEastAsia" w:hAnsi="Arial Narrow"/>
              </w:rPr>
              <w:t xml:space="preserve"> maintain</w:t>
            </w:r>
            <w:r w:rsidR="004A5CDE">
              <w:rPr>
                <w:rFonts w:ascii="Arial Narrow" w:eastAsiaTheme="minorEastAsia" w:hAnsi="Arial Narrow"/>
              </w:rPr>
              <w:t>ed</w:t>
            </w:r>
            <w:r w:rsidR="009D10F6" w:rsidRPr="009D10F6">
              <w:rPr>
                <w:rFonts w:ascii="Arial Narrow" w:eastAsiaTheme="minorEastAsia" w:hAnsi="Arial Narrow"/>
              </w:rPr>
              <w:t xml:space="preserve"> functional ward committees</w:t>
            </w:r>
            <w:r w:rsidR="00F4477D">
              <w:rPr>
                <w:rFonts w:ascii="Arial Narrow" w:eastAsiaTheme="minorEastAsia" w:hAnsi="Arial Narrow"/>
              </w:rPr>
              <w:t>.</w:t>
            </w:r>
          </w:p>
        </w:tc>
      </w:tr>
    </w:tbl>
    <w:p w14:paraId="11007A3F" w14:textId="17B26808" w:rsidR="002205B0" w:rsidRPr="006C3E18" w:rsidRDefault="002205B0" w:rsidP="002205B0">
      <w:pPr>
        <w:pStyle w:val="Heading1"/>
        <w:shd w:val="clear" w:color="auto" w:fill="D9D9D9" w:themeFill="background1" w:themeFillShade="D9"/>
        <w:rPr>
          <w:rFonts w:ascii="Arial Narrow" w:hAnsi="Arial Narrow"/>
          <w:color w:val="auto"/>
          <w:sz w:val="22"/>
          <w:szCs w:val="22"/>
        </w:rPr>
      </w:pPr>
      <w:bookmarkStart w:id="24" w:name="_Toc50576923"/>
      <w:r w:rsidRPr="006C3E18">
        <w:rPr>
          <w:rFonts w:ascii="Arial Narrow" w:hAnsi="Arial Narrow"/>
          <w:color w:val="auto"/>
          <w:sz w:val="22"/>
          <w:szCs w:val="22"/>
        </w:rPr>
        <w:t>13</w:t>
      </w:r>
      <w:r w:rsidR="00AF23BE">
        <w:rPr>
          <w:rFonts w:ascii="Arial Narrow" w:hAnsi="Arial Narrow"/>
          <w:color w:val="auto"/>
          <w:sz w:val="22"/>
          <w:szCs w:val="22"/>
        </w:rPr>
        <w:t>.</w:t>
      </w:r>
      <w:r w:rsidRPr="006C3E18">
        <w:rPr>
          <w:rFonts w:ascii="Arial Narrow" w:hAnsi="Arial Narrow"/>
          <w:color w:val="auto"/>
          <w:sz w:val="22"/>
          <w:szCs w:val="22"/>
        </w:rPr>
        <w:tab/>
      </w:r>
      <w:r w:rsidR="00631DAC">
        <w:rPr>
          <w:rFonts w:ascii="Arial Narrow" w:hAnsi="Arial Narrow"/>
          <w:color w:val="auto"/>
          <w:sz w:val="22"/>
          <w:szCs w:val="22"/>
        </w:rPr>
        <w:t xml:space="preserve">PROPOSED </w:t>
      </w:r>
      <w:r w:rsidRPr="00286165">
        <w:rPr>
          <w:rFonts w:ascii="Arial Narrow" w:hAnsi="Arial Narrow"/>
          <w:color w:val="auto"/>
          <w:sz w:val="22"/>
          <w:szCs w:val="22"/>
        </w:rPr>
        <w:t>COMMITTEE RECOMMENDATIONS</w:t>
      </w:r>
      <w:bookmarkEnd w:id="24"/>
      <w:r w:rsidRPr="006C3E18">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1980"/>
        <w:gridCol w:w="6946"/>
        <w:gridCol w:w="3260"/>
        <w:gridCol w:w="1436"/>
      </w:tblGrid>
      <w:tr w:rsidR="002205B0" w:rsidRPr="006C3E18" w14:paraId="211F0F17" w14:textId="77777777" w:rsidTr="00615AF4">
        <w:trPr>
          <w:tblHeader/>
        </w:trPr>
        <w:tc>
          <w:tcPr>
            <w:tcW w:w="13622" w:type="dxa"/>
            <w:gridSpan w:val="4"/>
            <w:shd w:val="clear" w:color="auto" w:fill="D6E3BC" w:themeFill="accent3" w:themeFillTint="66"/>
          </w:tcPr>
          <w:p w14:paraId="60F138DB" w14:textId="42686CA0" w:rsidR="002205B0" w:rsidRPr="006C3E18" w:rsidRDefault="002205B0" w:rsidP="000F7DFB">
            <w:pPr>
              <w:rPr>
                <w:rFonts w:ascii="Arial Narrow" w:hAnsi="Arial Narrow"/>
                <w:b/>
                <w:bCs/>
              </w:rPr>
            </w:pPr>
            <w:r w:rsidRPr="006C3E18">
              <w:rPr>
                <w:rFonts w:ascii="Arial Narrow" w:hAnsi="Arial Narrow"/>
                <w:b/>
                <w:bCs/>
              </w:rPr>
              <w:t>13 [</w:t>
            </w:r>
            <w:r w:rsidR="00035362" w:rsidRPr="006C3E18">
              <w:rPr>
                <w:rFonts w:ascii="Arial Narrow" w:hAnsi="Arial Narrow"/>
                <w:b/>
                <w:bCs/>
              </w:rPr>
              <w:t xml:space="preserve">DETAILED </w:t>
            </w:r>
            <w:r w:rsidRPr="006C3E18">
              <w:rPr>
                <w:rFonts w:ascii="Arial Narrow" w:hAnsi="Arial Narrow"/>
                <w:b/>
                <w:bCs/>
              </w:rPr>
              <w:t>COMMITTEE RECOMMENDATIONS]</w:t>
            </w:r>
          </w:p>
        </w:tc>
      </w:tr>
      <w:tr w:rsidR="002205B0" w:rsidRPr="006C3E18" w14:paraId="5EC75C88" w14:textId="77777777" w:rsidTr="00615AF4">
        <w:tc>
          <w:tcPr>
            <w:tcW w:w="13622" w:type="dxa"/>
            <w:gridSpan w:val="4"/>
            <w:shd w:val="clear" w:color="auto" w:fill="D9D9D9" w:themeFill="background1" w:themeFillShade="D9"/>
          </w:tcPr>
          <w:p w14:paraId="4E02DC39" w14:textId="77777777" w:rsidR="002205B0" w:rsidRPr="006C3E18" w:rsidRDefault="002205B0" w:rsidP="000F7DFB">
            <w:pPr>
              <w:rPr>
                <w:rFonts w:ascii="Arial Narrow" w:hAnsi="Arial Narrow"/>
              </w:rPr>
            </w:pPr>
            <w:r w:rsidRPr="006C3E18">
              <w:rPr>
                <w:rFonts w:ascii="Arial Narrow" w:hAnsi="Arial Narrow"/>
                <w:b/>
              </w:rPr>
              <w:t>Based on the information set out herein-above as well as the Committee Concerns, the Committee therefore recommends as follows:</w:t>
            </w:r>
          </w:p>
        </w:tc>
      </w:tr>
      <w:tr w:rsidR="002205B0" w:rsidRPr="006C3E18" w14:paraId="061A27A6" w14:textId="77777777" w:rsidTr="004531D4">
        <w:tc>
          <w:tcPr>
            <w:tcW w:w="1980" w:type="dxa"/>
            <w:shd w:val="clear" w:color="auto" w:fill="D6E3BC" w:themeFill="accent3" w:themeFillTint="66"/>
          </w:tcPr>
          <w:p w14:paraId="2135C7D7" w14:textId="77777777" w:rsidR="002205B0" w:rsidRPr="006C3E18" w:rsidRDefault="002205B0" w:rsidP="000F7DFB">
            <w:pPr>
              <w:rPr>
                <w:rFonts w:ascii="Arial Narrow" w:hAnsi="Arial Narrow"/>
                <w:b/>
                <w:bCs/>
              </w:rPr>
            </w:pPr>
            <w:r w:rsidRPr="006C3E18">
              <w:rPr>
                <w:rFonts w:ascii="Arial Narrow" w:hAnsi="Arial Narrow"/>
                <w:b/>
                <w:bCs/>
              </w:rPr>
              <w:t>Ref Number</w:t>
            </w:r>
          </w:p>
        </w:tc>
        <w:tc>
          <w:tcPr>
            <w:tcW w:w="6946" w:type="dxa"/>
            <w:shd w:val="clear" w:color="auto" w:fill="D6E3BC" w:themeFill="accent3" w:themeFillTint="66"/>
          </w:tcPr>
          <w:p w14:paraId="2740554E" w14:textId="77777777" w:rsidR="002205B0" w:rsidRPr="006C3E18" w:rsidRDefault="002205B0" w:rsidP="000F7DFB">
            <w:pPr>
              <w:rPr>
                <w:rFonts w:ascii="Arial Narrow" w:hAnsi="Arial Narrow"/>
                <w:b/>
                <w:bCs/>
              </w:rPr>
            </w:pPr>
            <w:r w:rsidRPr="006C3E18">
              <w:rPr>
                <w:rFonts w:ascii="Arial Narrow" w:hAnsi="Arial Narrow"/>
                <w:b/>
                <w:bCs/>
              </w:rPr>
              <w:t>Recommendation</w:t>
            </w:r>
          </w:p>
        </w:tc>
        <w:tc>
          <w:tcPr>
            <w:tcW w:w="3260" w:type="dxa"/>
            <w:shd w:val="clear" w:color="auto" w:fill="D6E3BC" w:themeFill="accent3" w:themeFillTint="66"/>
          </w:tcPr>
          <w:p w14:paraId="6A154EC6" w14:textId="77777777" w:rsidR="002205B0" w:rsidRPr="006C3E18" w:rsidRDefault="002205B0" w:rsidP="000F7DFB">
            <w:pPr>
              <w:rPr>
                <w:rFonts w:ascii="Arial Narrow" w:hAnsi="Arial Narrow"/>
                <w:b/>
                <w:bCs/>
              </w:rPr>
            </w:pPr>
            <w:r w:rsidRPr="006C3E18">
              <w:rPr>
                <w:rFonts w:ascii="Arial Narrow" w:hAnsi="Arial Narrow"/>
                <w:b/>
                <w:bCs/>
              </w:rPr>
              <w:t>Type of response expected</w:t>
            </w:r>
          </w:p>
        </w:tc>
        <w:tc>
          <w:tcPr>
            <w:tcW w:w="1436" w:type="dxa"/>
            <w:shd w:val="clear" w:color="auto" w:fill="D6E3BC" w:themeFill="accent3" w:themeFillTint="66"/>
          </w:tcPr>
          <w:p w14:paraId="4E7C0009" w14:textId="77777777" w:rsidR="002205B0" w:rsidRPr="006C3E18" w:rsidRDefault="002205B0" w:rsidP="000F7DFB">
            <w:pPr>
              <w:rPr>
                <w:rFonts w:ascii="Arial Narrow" w:hAnsi="Arial Narrow"/>
                <w:b/>
                <w:bCs/>
              </w:rPr>
            </w:pPr>
            <w:r w:rsidRPr="006C3E18">
              <w:rPr>
                <w:rFonts w:ascii="Arial Narrow" w:hAnsi="Arial Narrow"/>
                <w:b/>
                <w:bCs/>
              </w:rPr>
              <w:t>Due Date</w:t>
            </w:r>
          </w:p>
        </w:tc>
      </w:tr>
      <w:tr w:rsidR="006275F6" w:rsidRPr="006C3E18" w14:paraId="550FD93D" w14:textId="77777777" w:rsidTr="004531D4">
        <w:tc>
          <w:tcPr>
            <w:tcW w:w="1980" w:type="dxa"/>
          </w:tcPr>
          <w:p w14:paraId="346FBEA2" w14:textId="31724414" w:rsidR="006275F6" w:rsidRPr="006C3E18" w:rsidRDefault="006275F6" w:rsidP="006275F6">
            <w:pPr>
              <w:spacing w:line="276" w:lineRule="auto"/>
              <w:rPr>
                <w:rFonts w:ascii="Arial Narrow" w:hAnsi="Arial Narrow"/>
                <w:bCs/>
              </w:rPr>
            </w:pPr>
            <w:r>
              <w:rPr>
                <w:rFonts w:ascii="Arial Narrow" w:hAnsi="Arial Narrow"/>
                <w:bCs/>
              </w:rPr>
              <w:t>CoG</w:t>
            </w:r>
            <w:r w:rsidRPr="006C3E18">
              <w:rPr>
                <w:rFonts w:ascii="Arial Narrow" w:hAnsi="Arial Narrow"/>
                <w:bCs/>
              </w:rPr>
              <w:t>/Q</w:t>
            </w:r>
            <w:r w:rsidR="00B537B5">
              <w:rPr>
                <w:rFonts w:ascii="Arial Narrow" w:hAnsi="Arial Narrow"/>
                <w:bCs/>
              </w:rPr>
              <w:t>2</w:t>
            </w:r>
            <w:r w:rsidRPr="006C3E18">
              <w:rPr>
                <w:rFonts w:ascii="Arial Narrow" w:hAnsi="Arial Narrow"/>
                <w:bCs/>
              </w:rPr>
              <w:t>PR/ 001</w:t>
            </w:r>
          </w:p>
        </w:tc>
        <w:tc>
          <w:tcPr>
            <w:tcW w:w="6946" w:type="dxa"/>
          </w:tcPr>
          <w:p w14:paraId="3DF11096" w14:textId="4B2D1392" w:rsidR="006275F6" w:rsidRPr="003D0464" w:rsidRDefault="00480141" w:rsidP="006275F6">
            <w:pPr>
              <w:spacing w:line="276" w:lineRule="auto"/>
              <w:rPr>
                <w:rFonts w:ascii="Arial Narrow" w:eastAsia="Times New Roman" w:hAnsi="Arial Narrow"/>
                <w:lang w:val="en-US"/>
              </w:rPr>
            </w:pPr>
            <w:r w:rsidRPr="00C33486">
              <w:rPr>
                <w:rFonts w:ascii="Arial Narrow" w:eastAsia="Times New Roman" w:hAnsi="Arial Narrow"/>
                <w:lang w:val="en-US"/>
              </w:rPr>
              <w:t xml:space="preserve">Although payment delays </w:t>
            </w:r>
            <w:r w:rsidR="007A12C9" w:rsidRPr="00C33486">
              <w:rPr>
                <w:rFonts w:ascii="Arial Narrow" w:eastAsia="Times New Roman" w:hAnsi="Arial Narrow"/>
                <w:lang w:val="en-US"/>
              </w:rPr>
              <w:t>were</w:t>
            </w:r>
            <w:r w:rsidRPr="00C33486">
              <w:rPr>
                <w:rFonts w:ascii="Arial Narrow" w:eastAsia="Times New Roman" w:hAnsi="Arial Narrow"/>
                <w:lang w:val="en-US"/>
              </w:rPr>
              <w:t xml:space="preserve"> attributed to system downtime within SITA</w:t>
            </w:r>
            <w:r w:rsidR="00C33486" w:rsidRPr="00C33486">
              <w:rPr>
                <w:rFonts w:ascii="Arial Narrow" w:eastAsia="Times New Roman" w:hAnsi="Arial Narrow"/>
                <w:lang w:val="en-US"/>
              </w:rPr>
              <w:t>,</w:t>
            </w:r>
            <w:r w:rsidR="002F482A" w:rsidRPr="00C33486">
              <w:rPr>
                <w:rFonts w:ascii="Arial Narrow" w:eastAsia="Times New Roman" w:hAnsi="Arial Narrow"/>
                <w:lang w:val="en-US"/>
              </w:rPr>
              <w:t xml:space="preserve"> the Department </w:t>
            </w:r>
            <w:r w:rsidR="00C33486" w:rsidRPr="00C33486">
              <w:rPr>
                <w:rFonts w:ascii="Arial Narrow" w:eastAsia="Times New Roman" w:hAnsi="Arial Narrow"/>
                <w:lang w:val="en-US"/>
              </w:rPr>
              <w:t xml:space="preserve">should put alternative mechanisms in place to ensure that the </w:t>
            </w:r>
            <w:r w:rsidRPr="00C33486">
              <w:rPr>
                <w:rFonts w:ascii="Arial Narrow" w:eastAsia="Times New Roman" w:hAnsi="Arial Narrow"/>
                <w:lang w:val="en-US"/>
              </w:rPr>
              <w:t xml:space="preserve">process </w:t>
            </w:r>
            <w:r w:rsidR="00C33486" w:rsidRPr="00C33486">
              <w:rPr>
                <w:rFonts w:ascii="Arial Narrow" w:eastAsia="Times New Roman" w:hAnsi="Arial Narrow"/>
                <w:lang w:val="en-US"/>
              </w:rPr>
              <w:t xml:space="preserve">of making </w:t>
            </w:r>
            <w:r w:rsidRPr="00C33486">
              <w:rPr>
                <w:rFonts w:ascii="Arial Narrow" w:eastAsia="Times New Roman" w:hAnsi="Arial Narrow"/>
                <w:lang w:val="en-US"/>
              </w:rPr>
              <w:t>payments</w:t>
            </w:r>
            <w:r w:rsidR="002721E2" w:rsidRPr="00C33486">
              <w:t xml:space="preserve"> </w:t>
            </w:r>
            <w:r w:rsidR="004649A5" w:rsidRPr="00C33486">
              <w:t xml:space="preserve">of </w:t>
            </w:r>
            <w:r w:rsidR="002721E2" w:rsidRPr="00C33486">
              <w:rPr>
                <w:rFonts w:ascii="Arial Narrow" w:eastAsia="Times New Roman" w:hAnsi="Arial Narrow"/>
                <w:lang w:val="en-US"/>
              </w:rPr>
              <w:t>invoices</w:t>
            </w:r>
            <w:r w:rsidRPr="00C33486">
              <w:rPr>
                <w:rFonts w:ascii="Arial Narrow" w:eastAsia="Times New Roman" w:hAnsi="Arial Narrow"/>
                <w:lang w:val="en-US"/>
              </w:rPr>
              <w:t xml:space="preserve"> within the stipulated period</w:t>
            </w:r>
            <w:r w:rsidR="00C33486" w:rsidRPr="00C33486">
              <w:rPr>
                <w:rFonts w:ascii="Arial Narrow" w:eastAsia="Times New Roman" w:hAnsi="Arial Narrow"/>
                <w:lang w:val="en-US"/>
              </w:rPr>
              <w:t xml:space="preserve"> are in place</w:t>
            </w:r>
            <w:r w:rsidRPr="00C33486">
              <w:rPr>
                <w:rFonts w:ascii="Arial Narrow" w:eastAsia="Times New Roman" w:hAnsi="Arial Narrow"/>
                <w:lang w:val="en-US"/>
              </w:rPr>
              <w:t>.</w:t>
            </w:r>
          </w:p>
        </w:tc>
        <w:tc>
          <w:tcPr>
            <w:tcW w:w="3260" w:type="dxa"/>
          </w:tcPr>
          <w:p w14:paraId="64162C1F" w14:textId="515C704A" w:rsidR="006275F6" w:rsidRPr="006C3E18" w:rsidRDefault="006275F6" w:rsidP="006275F6">
            <w:pPr>
              <w:spacing w:line="276" w:lineRule="auto"/>
              <w:rPr>
                <w:rFonts w:ascii="Arial Narrow" w:hAnsi="Arial Narrow"/>
              </w:rPr>
            </w:pPr>
            <w:r w:rsidRPr="006C3E18">
              <w:rPr>
                <w:rFonts w:ascii="Arial Narrow" w:hAnsi="Arial Narrow"/>
              </w:rPr>
              <w:t>Written Response should be forwarded to the GPL on the resolution as adopted by the House</w:t>
            </w:r>
          </w:p>
        </w:tc>
        <w:tc>
          <w:tcPr>
            <w:tcW w:w="1436" w:type="dxa"/>
          </w:tcPr>
          <w:p w14:paraId="41A7951A" w14:textId="4E83443F" w:rsidR="006275F6" w:rsidRPr="006C3E18" w:rsidRDefault="00B50673" w:rsidP="006275F6">
            <w:pPr>
              <w:spacing w:line="276" w:lineRule="auto"/>
              <w:rPr>
                <w:rFonts w:ascii="Arial Narrow" w:hAnsi="Arial Narrow"/>
              </w:rPr>
            </w:pPr>
            <w:r>
              <w:rPr>
                <w:rFonts w:ascii="Arial Narrow" w:hAnsi="Arial Narrow"/>
              </w:rPr>
              <w:t>31</w:t>
            </w:r>
            <w:r w:rsidR="006275F6" w:rsidRPr="00102DDC">
              <w:rPr>
                <w:rFonts w:ascii="Arial Narrow" w:hAnsi="Arial Narrow"/>
              </w:rPr>
              <w:t>/</w:t>
            </w:r>
            <w:r w:rsidR="006275F6">
              <w:rPr>
                <w:rFonts w:ascii="Arial Narrow" w:hAnsi="Arial Narrow"/>
              </w:rPr>
              <w:t>0</w:t>
            </w:r>
            <w:r>
              <w:rPr>
                <w:rFonts w:ascii="Arial Narrow" w:hAnsi="Arial Narrow"/>
              </w:rPr>
              <w:t>1</w:t>
            </w:r>
            <w:r w:rsidR="006275F6" w:rsidRPr="00102DDC">
              <w:rPr>
                <w:rFonts w:ascii="Arial Narrow" w:hAnsi="Arial Narrow"/>
              </w:rPr>
              <w:t>/202</w:t>
            </w:r>
            <w:r w:rsidR="000B7DB6">
              <w:rPr>
                <w:rFonts w:ascii="Arial Narrow" w:hAnsi="Arial Narrow"/>
              </w:rPr>
              <w:t>4</w:t>
            </w:r>
          </w:p>
        </w:tc>
      </w:tr>
      <w:tr w:rsidR="00A83368" w:rsidRPr="006C3E18" w14:paraId="2AD5A375" w14:textId="77777777" w:rsidTr="004531D4">
        <w:tc>
          <w:tcPr>
            <w:tcW w:w="1980" w:type="dxa"/>
          </w:tcPr>
          <w:p w14:paraId="5C0DEE59" w14:textId="35AC0E34" w:rsidR="00A83368" w:rsidRPr="006C3E18" w:rsidRDefault="00A83368" w:rsidP="00A83368">
            <w:pPr>
              <w:spacing w:line="276" w:lineRule="auto"/>
              <w:rPr>
                <w:rFonts w:ascii="Arial Narrow" w:hAnsi="Arial Narrow"/>
                <w:bCs/>
              </w:rPr>
            </w:pPr>
            <w:r>
              <w:rPr>
                <w:rFonts w:ascii="Arial Narrow" w:hAnsi="Arial Narrow"/>
                <w:bCs/>
              </w:rPr>
              <w:t>CoG</w:t>
            </w:r>
            <w:r w:rsidRPr="006C3E18">
              <w:rPr>
                <w:rFonts w:ascii="Arial Narrow" w:hAnsi="Arial Narrow"/>
                <w:bCs/>
              </w:rPr>
              <w:t>/Q</w:t>
            </w:r>
            <w:r>
              <w:rPr>
                <w:rFonts w:ascii="Arial Narrow" w:hAnsi="Arial Narrow"/>
                <w:bCs/>
              </w:rPr>
              <w:t>2</w:t>
            </w:r>
            <w:r w:rsidRPr="006C3E18">
              <w:rPr>
                <w:rFonts w:ascii="Arial Narrow" w:hAnsi="Arial Narrow"/>
                <w:bCs/>
              </w:rPr>
              <w:t>PR/ 002</w:t>
            </w:r>
          </w:p>
        </w:tc>
        <w:tc>
          <w:tcPr>
            <w:tcW w:w="6946" w:type="dxa"/>
          </w:tcPr>
          <w:p w14:paraId="4A1D865A" w14:textId="5F6158E3" w:rsidR="00D60D7A" w:rsidRDefault="00A83368" w:rsidP="00A83368">
            <w:pPr>
              <w:spacing w:line="276" w:lineRule="auto"/>
              <w:rPr>
                <w:rFonts w:ascii="Arial Narrow" w:eastAsia="Times New Roman" w:hAnsi="Arial Narrow"/>
              </w:rPr>
            </w:pPr>
            <w:r>
              <w:rPr>
                <w:rFonts w:ascii="Arial Narrow" w:eastAsia="Times New Roman" w:hAnsi="Arial Narrow"/>
              </w:rPr>
              <w:t xml:space="preserve">The Department should </w:t>
            </w:r>
            <w:r w:rsidR="00817C0F">
              <w:rPr>
                <w:rFonts w:ascii="Arial Narrow" w:eastAsia="Times New Roman" w:hAnsi="Arial Narrow"/>
              </w:rPr>
              <w:t xml:space="preserve">ensure </w:t>
            </w:r>
            <w:r w:rsidR="000D187F">
              <w:rPr>
                <w:rFonts w:ascii="Arial Narrow" w:eastAsia="Times New Roman" w:hAnsi="Arial Narrow"/>
              </w:rPr>
              <w:t xml:space="preserve">that </w:t>
            </w:r>
            <w:r w:rsidR="000D187F" w:rsidRPr="00BA6D5C">
              <w:rPr>
                <w:rFonts w:ascii="Arial Narrow" w:eastAsia="Times New Roman" w:hAnsi="Arial Narrow"/>
              </w:rPr>
              <w:t>a</w:t>
            </w:r>
            <w:r w:rsidR="00BA6D5C" w:rsidRPr="00BA6D5C">
              <w:rPr>
                <w:rFonts w:ascii="Arial Narrow" w:eastAsia="Times New Roman" w:hAnsi="Arial Narrow"/>
              </w:rPr>
              <w:t xml:space="preserve"> suitable service provider</w:t>
            </w:r>
            <w:r w:rsidR="00F9219D">
              <w:rPr>
                <w:rFonts w:ascii="Arial Narrow" w:eastAsia="Times New Roman" w:hAnsi="Arial Narrow"/>
              </w:rPr>
              <w:t xml:space="preserve"> is a</w:t>
            </w:r>
            <w:r w:rsidR="001A37D0">
              <w:rPr>
                <w:rFonts w:ascii="Arial Narrow" w:eastAsia="Times New Roman" w:hAnsi="Arial Narrow"/>
              </w:rPr>
              <w:t>ppointed timeously</w:t>
            </w:r>
            <w:r w:rsidR="00A569A9">
              <w:rPr>
                <w:rFonts w:ascii="Arial Narrow" w:eastAsia="Times New Roman" w:hAnsi="Arial Narrow"/>
              </w:rPr>
              <w:t xml:space="preserve"> to</w:t>
            </w:r>
            <w:r w:rsidR="00A569A9" w:rsidRPr="00A569A9">
              <w:rPr>
                <w:rFonts w:ascii="Arial Narrow" w:eastAsia="Times New Roman" w:hAnsi="Arial Narrow"/>
              </w:rPr>
              <w:t xml:space="preserve"> implement the two (2) powers and functions of the single-tier system of government pillars in line with the approved plans</w:t>
            </w:r>
            <w:r w:rsidR="00A569A9">
              <w:rPr>
                <w:rFonts w:ascii="Arial Narrow" w:eastAsia="Times New Roman" w:hAnsi="Arial Narrow"/>
              </w:rPr>
              <w:t xml:space="preserve"> is</w:t>
            </w:r>
            <w:r w:rsidR="00AE0E5E">
              <w:rPr>
                <w:rFonts w:ascii="Arial Narrow" w:eastAsia="Times New Roman" w:hAnsi="Arial Narrow"/>
              </w:rPr>
              <w:t xml:space="preserve"> attain</w:t>
            </w:r>
            <w:r w:rsidR="00C33486">
              <w:rPr>
                <w:rFonts w:ascii="Arial Narrow" w:eastAsia="Times New Roman" w:hAnsi="Arial Narrow"/>
              </w:rPr>
              <w:t>ed</w:t>
            </w:r>
            <w:r w:rsidR="00AE0E5E">
              <w:rPr>
                <w:rFonts w:ascii="Arial Narrow" w:eastAsia="Times New Roman" w:hAnsi="Arial Narrow"/>
              </w:rPr>
              <w:t xml:space="preserve"> in the third quarter of the current FY</w:t>
            </w:r>
            <w:r w:rsidR="0078035F">
              <w:rPr>
                <w:rFonts w:ascii="Arial Narrow" w:eastAsia="Times New Roman" w:hAnsi="Arial Narrow"/>
              </w:rPr>
              <w:t>.</w:t>
            </w:r>
          </w:p>
          <w:p w14:paraId="548FC20F" w14:textId="77777777" w:rsidR="00D60D7A" w:rsidRDefault="00D60D7A" w:rsidP="00A83368">
            <w:pPr>
              <w:spacing w:line="276" w:lineRule="auto"/>
              <w:rPr>
                <w:rFonts w:ascii="Arial Narrow" w:eastAsia="Times New Roman" w:hAnsi="Arial Narrow"/>
              </w:rPr>
            </w:pPr>
          </w:p>
          <w:p w14:paraId="1D7DA978" w14:textId="4EE82971" w:rsidR="00A83368" w:rsidRPr="006C3E18" w:rsidRDefault="00D60D7A" w:rsidP="00A83368">
            <w:pPr>
              <w:spacing w:line="276" w:lineRule="auto"/>
              <w:rPr>
                <w:rFonts w:ascii="Arial Narrow" w:hAnsi="Arial Narrow"/>
              </w:rPr>
            </w:pPr>
            <w:r w:rsidRPr="00D60D7A">
              <w:rPr>
                <w:rFonts w:ascii="Arial Narrow" w:eastAsia="Times New Roman" w:hAnsi="Arial Narrow"/>
              </w:rPr>
              <w:t xml:space="preserve">The </w:t>
            </w:r>
            <w:r w:rsidR="009A2E9B">
              <w:rPr>
                <w:rFonts w:ascii="Arial Narrow" w:eastAsia="Times New Roman" w:hAnsi="Arial Narrow"/>
              </w:rPr>
              <w:t>P</w:t>
            </w:r>
            <w:r w:rsidRPr="00D60D7A">
              <w:rPr>
                <w:rFonts w:ascii="Arial Narrow" w:eastAsia="Times New Roman" w:hAnsi="Arial Narrow"/>
              </w:rPr>
              <w:t xml:space="preserve">ortfolio </w:t>
            </w:r>
            <w:r w:rsidR="00A819E1">
              <w:rPr>
                <w:rFonts w:ascii="Arial Narrow" w:eastAsia="Times New Roman" w:hAnsi="Arial Narrow"/>
              </w:rPr>
              <w:t>C</w:t>
            </w:r>
            <w:r w:rsidRPr="00D60D7A">
              <w:rPr>
                <w:rFonts w:ascii="Arial Narrow" w:eastAsia="Times New Roman" w:hAnsi="Arial Narrow"/>
              </w:rPr>
              <w:t xml:space="preserve">ommittee will monitor the progress that will be made </w:t>
            </w:r>
            <w:r w:rsidR="009A2E9B">
              <w:rPr>
                <w:rFonts w:ascii="Arial Narrow" w:eastAsia="Times New Roman" w:hAnsi="Arial Narrow"/>
              </w:rPr>
              <w:t>i</w:t>
            </w:r>
            <w:r w:rsidRPr="00D60D7A">
              <w:rPr>
                <w:rFonts w:ascii="Arial Narrow" w:eastAsia="Times New Roman" w:hAnsi="Arial Narrow"/>
              </w:rPr>
              <w:t>n the</w:t>
            </w:r>
            <w:r w:rsidR="009A2E9B">
              <w:rPr>
                <w:rFonts w:ascii="Arial Narrow" w:eastAsia="Times New Roman" w:hAnsi="Arial Narrow"/>
              </w:rPr>
              <w:t xml:space="preserve"> third</w:t>
            </w:r>
            <w:r w:rsidR="009A2E9B" w:rsidRPr="00D60D7A">
              <w:rPr>
                <w:rFonts w:ascii="Arial Narrow" w:eastAsia="Times New Roman" w:hAnsi="Arial Narrow"/>
              </w:rPr>
              <w:t xml:space="preserve"> quarter</w:t>
            </w:r>
            <w:r w:rsidRPr="00D60D7A">
              <w:rPr>
                <w:rFonts w:ascii="Arial Narrow" w:eastAsia="Times New Roman" w:hAnsi="Arial Narrow"/>
              </w:rPr>
              <w:t xml:space="preserve"> in terms of project implementation. </w:t>
            </w:r>
            <w:r w:rsidR="00276391">
              <w:rPr>
                <w:rFonts w:ascii="Arial Narrow" w:eastAsia="Times New Roman" w:hAnsi="Arial Narrow"/>
              </w:rPr>
              <w:t xml:space="preserve"> </w:t>
            </w:r>
          </w:p>
        </w:tc>
        <w:tc>
          <w:tcPr>
            <w:tcW w:w="3260" w:type="dxa"/>
          </w:tcPr>
          <w:p w14:paraId="78DB31F6" w14:textId="624CABD0" w:rsidR="00A83368" w:rsidRPr="006C3E18" w:rsidRDefault="00A83368" w:rsidP="00A83368">
            <w:pPr>
              <w:spacing w:line="276" w:lineRule="auto"/>
              <w:rPr>
                <w:rFonts w:ascii="Arial Narrow" w:hAnsi="Arial Narrow"/>
              </w:rPr>
            </w:pPr>
            <w:r w:rsidRPr="006C3E18">
              <w:rPr>
                <w:rFonts w:ascii="Arial Narrow" w:hAnsi="Arial Narrow"/>
              </w:rPr>
              <w:t>Written Response should be forwarded to the GPL on the resolution as adopted by the House</w:t>
            </w:r>
          </w:p>
        </w:tc>
        <w:tc>
          <w:tcPr>
            <w:tcW w:w="1436" w:type="dxa"/>
          </w:tcPr>
          <w:p w14:paraId="0C18B49D" w14:textId="0C5C6D6B" w:rsidR="00A83368" w:rsidRPr="009E7B59" w:rsidRDefault="00A83368" w:rsidP="00A83368">
            <w:pPr>
              <w:spacing w:line="276" w:lineRule="auto"/>
              <w:rPr>
                <w:rFonts w:ascii="Arial Narrow" w:hAnsi="Arial Narrow"/>
              </w:rPr>
            </w:pPr>
            <w:r w:rsidRPr="009E7B59">
              <w:rPr>
                <w:rFonts w:ascii="Arial Narrow" w:hAnsi="Arial Narrow"/>
              </w:rPr>
              <w:t>31/01/202</w:t>
            </w:r>
            <w:r w:rsidR="000B7DB6" w:rsidRPr="009E7B59">
              <w:rPr>
                <w:rFonts w:ascii="Arial Narrow" w:hAnsi="Arial Narrow"/>
              </w:rPr>
              <w:t>4</w:t>
            </w:r>
          </w:p>
        </w:tc>
      </w:tr>
      <w:tr w:rsidR="00A83368" w:rsidRPr="006C3E18" w14:paraId="0FF4E7DA" w14:textId="77777777" w:rsidTr="004531D4">
        <w:tc>
          <w:tcPr>
            <w:tcW w:w="1980" w:type="dxa"/>
          </w:tcPr>
          <w:p w14:paraId="60EC90B9" w14:textId="16E18BBA" w:rsidR="00A83368" w:rsidRPr="006C3E18" w:rsidRDefault="00A83368" w:rsidP="00A83368">
            <w:pPr>
              <w:spacing w:line="276" w:lineRule="auto"/>
              <w:rPr>
                <w:rFonts w:ascii="Arial Narrow" w:hAnsi="Arial Narrow"/>
                <w:bCs/>
              </w:rPr>
            </w:pPr>
            <w:r>
              <w:rPr>
                <w:rFonts w:ascii="Arial Narrow" w:hAnsi="Arial Narrow"/>
                <w:bCs/>
              </w:rPr>
              <w:t>CoG</w:t>
            </w:r>
            <w:r w:rsidRPr="006C3E18">
              <w:rPr>
                <w:rFonts w:ascii="Arial Narrow" w:hAnsi="Arial Narrow"/>
                <w:bCs/>
              </w:rPr>
              <w:t>/Q</w:t>
            </w:r>
            <w:r>
              <w:rPr>
                <w:rFonts w:ascii="Arial Narrow" w:hAnsi="Arial Narrow"/>
                <w:bCs/>
              </w:rPr>
              <w:t>2</w:t>
            </w:r>
            <w:r w:rsidRPr="006C3E18">
              <w:rPr>
                <w:rFonts w:ascii="Arial Narrow" w:hAnsi="Arial Narrow"/>
                <w:bCs/>
              </w:rPr>
              <w:t>PR/ 003</w:t>
            </w:r>
          </w:p>
        </w:tc>
        <w:tc>
          <w:tcPr>
            <w:tcW w:w="6946" w:type="dxa"/>
          </w:tcPr>
          <w:p w14:paraId="4D6D93FD" w14:textId="24E97746" w:rsidR="00A83368" w:rsidRDefault="000D187F" w:rsidP="00A83368">
            <w:pPr>
              <w:spacing w:line="276" w:lineRule="auto"/>
              <w:rPr>
                <w:rFonts w:ascii="Arial Narrow" w:eastAsia="Times New Roman" w:hAnsi="Arial Narrow"/>
              </w:rPr>
            </w:pPr>
            <w:r>
              <w:rPr>
                <w:rFonts w:ascii="Arial Narrow" w:eastAsia="Times New Roman" w:hAnsi="Arial Narrow"/>
              </w:rPr>
              <w:t xml:space="preserve">The </w:t>
            </w:r>
            <w:r w:rsidR="00331653">
              <w:rPr>
                <w:rFonts w:ascii="Arial Narrow" w:eastAsia="Times New Roman" w:hAnsi="Arial Narrow"/>
              </w:rPr>
              <w:t xml:space="preserve">Portfolio Committee </w:t>
            </w:r>
            <w:r>
              <w:rPr>
                <w:rFonts w:ascii="Arial Narrow" w:eastAsia="Times New Roman" w:hAnsi="Arial Narrow"/>
              </w:rPr>
              <w:t xml:space="preserve">should </w:t>
            </w:r>
            <w:r w:rsidR="00A819E1">
              <w:rPr>
                <w:rFonts w:ascii="Arial Narrow" w:eastAsia="Times New Roman" w:hAnsi="Arial Narrow"/>
              </w:rPr>
              <w:t>m</w:t>
            </w:r>
            <w:r w:rsidR="00933625">
              <w:rPr>
                <w:rFonts w:ascii="Arial Narrow" w:eastAsia="Times New Roman" w:hAnsi="Arial Narrow"/>
              </w:rPr>
              <w:t>ake an undertaking to summon the Department and the City of Tshwane</w:t>
            </w:r>
            <w:r w:rsidR="00CC0753">
              <w:rPr>
                <w:rFonts w:ascii="Arial Narrow" w:eastAsia="Times New Roman" w:hAnsi="Arial Narrow"/>
              </w:rPr>
              <w:t xml:space="preserve"> in terms of Rule 148</w:t>
            </w:r>
            <w:r w:rsidR="001C01BD">
              <w:rPr>
                <w:rFonts w:ascii="Arial Narrow" w:eastAsia="Times New Roman" w:hAnsi="Arial Narrow"/>
              </w:rPr>
              <w:t>(8) and (13</w:t>
            </w:r>
            <w:r w:rsidR="006F3A0D">
              <w:rPr>
                <w:rFonts w:ascii="Arial Narrow" w:eastAsia="Times New Roman" w:hAnsi="Arial Narrow"/>
              </w:rPr>
              <w:t>)</w:t>
            </w:r>
            <w:r w:rsidR="00933625">
              <w:rPr>
                <w:rFonts w:ascii="Arial Narrow" w:eastAsia="Times New Roman" w:hAnsi="Arial Narrow"/>
              </w:rPr>
              <w:t xml:space="preserve"> to </w:t>
            </w:r>
            <w:r w:rsidR="00621556">
              <w:rPr>
                <w:rFonts w:ascii="Arial Narrow" w:eastAsia="Times New Roman" w:hAnsi="Arial Narrow"/>
              </w:rPr>
              <w:t>explain the</w:t>
            </w:r>
            <w:r w:rsidR="00592C41">
              <w:rPr>
                <w:rFonts w:ascii="Arial Narrow" w:eastAsia="Times New Roman" w:hAnsi="Arial Narrow"/>
              </w:rPr>
              <w:t xml:space="preserve"> challenges that are preventing the C</w:t>
            </w:r>
            <w:r w:rsidR="00D35BE1">
              <w:rPr>
                <w:rFonts w:ascii="Arial Narrow" w:eastAsia="Times New Roman" w:hAnsi="Arial Narrow"/>
              </w:rPr>
              <w:t>oT</w:t>
            </w:r>
            <w:r w:rsidR="00592C41">
              <w:rPr>
                <w:rFonts w:ascii="Arial Narrow" w:eastAsia="Times New Roman" w:hAnsi="Arial Narrow"/>
              </w:rPr>
              <w:t xml:space="preserve"> to </w:t>
            </w:r>
            <w:r w:rsidR="009D1699">
              <w:rPr>
                <w:rFonts w:ascii="Arial Narrow" w:eastAsia="Times New Roman" w:hAnsi="Arial Narrow"/>
              </w:rPr>
              <w:t xml:space="preserve">appoint </w:t>
            </w:r>
            <w:r w:rsidR="00C90BBE" w:rsidRPr="00C90BBE">
              <w:rPr>
                <w:rFonts w:ascii="Arial Narrow" w:eastAsia="Times New Roman" w:hAnsi="Arial Narrow"/>
              </w:rPr>
              <w:t>supported and maintained functional ward committees</w:t>
            </w:r>
            <w:r w:rsidR="00C90BBE">
              <w:rPr>
                <w:rFonts w:ascii="Arial Narrow" w:eastAsia="Times New Roman" w:hAnsi="Arial Narrow"/>
              </w:rPr>
              <w:t>.</w:t>
            </w:r>
          </w:p>
          <w:p w14:paraId="65E79938" w14:textId="77777777" w:rsidR="00D35AEF" w:rsidRDefault="00D35AEF" w:rsidP="00A83368">
            <w:pPr>
              <w:spacing w:line="276" w:lineRule="auto"/>
              <w:rPr>
                <w:rFonts w:ascii="Arial Narrow" w:eastAsia="Times New Roman" w:hAnsi="Arial Narrow"/>
              </w:rPr>
            </w:pPr>
          </w:p>
          <w:p w14:paraId="6E790583" w14:textId="4371C117" w:rsidR="00D35AEF" w:rsidRPr="00037748" w:rsidRDefault="00B95001" w:rsidP="00A83368">
            <w:pPr>
              <w:spacing w:line="276" w:lineRule="auto"/>
              <w:rPr>
                <w:rFonts w:ascii="Arial Narrow" w:eastAsia="Times New Roman" w:hAnsi="Arial Narrow"/>
              </w:rPr>
            </w:pPr>
            <w:r>
              <w:rPr>
                <w:rFonts w:ascii="Arial Narrow" w:eastAsia="Times New Roman" w:hAnsi="Arial Narrow"/>
              </w:rPr>
              <w:t xml:space="preserve">The </w:t>
            </w:r>
            <w:r w:rsidR="00D35AEF">
              <w:rPr>
                <w:rFonts w:ascii="Arial Narrow" w:eastAsia="Times New Roman" w:hAnsi="Arial Narrow"/>
              </w:rPr>
              <w:t xml:space="preserve">absence of Ward Committee </w:t>
            </w:r>
            <w:r w:rsidR="00962FD7">
              <w:rPr>
                <w:rFonts w:ascii="Arial Narrow" w:eastAsia="Times New Roman" w:hAnsi="Arial Narrow"/>
              </w:rPr>
              <w:t xml:space="preserve">is a </w:t>
            </w:r>
            <w:r w:rsidR="00D35BE1">
              <w:rPr>
                <w:rFonts w:ascii="Arial Narrow" w:eastAsia="Times New Roman" w:hAnsi="Arial Narrow"/>
              </w:rPr>
              <w:t>demonstration</w:t>
            </w:r>
            <w:r w:rsidR="00D35AEF">
              <w:rPr>
                <w:rFonts w:ascii="Arial Narrow" w:eastAsia="Times New Roman" w:hAnsi="Arial Narrow"/>
              </w:rPr>
              <w:t xml:space="preserve"> </w:t>
            </w:r>
            <w:r>
              <w:rPr>
                <w:rFonts w:ascii="Arial Narrow" w:eastAsia="Times New Roman" w:hAnsi="Arial Narrow"/>
              </w:rPr>
              <w:t>that the Communities</w:t>
            </w:r>
            <w:r w:rsidR="00D5545D">
              <w:rPr>
                <w:rFonts w:ascii="Arial Narrow" w:eastAsia="Times New Roman" w:hAnsi="Arial Narrow"/>
              </w:rPr>
              <w:t xml:space="preserve"> of </w:t>
            </w:r>
            <w:r w:rsidR="00D35BE1">
              <w:rPr>
                <w:rFonts w:ascii="Arial Narrow" w:eastAsia="Times New Roman" w:hAnsi="Arial Narrow"/>
              </w:rPr>
              <w:t>Co</w:t>
            </w:r>
            <w:r w:rsidR="00D5545D">
              <w:rPr>
                <w:rFonts w:ascii="Arial Narrow" w:eastAsia="Times New Roman" w:hAnsi="Arial Narrow"/>
              </w:rPr>
              <w:t>T</w:t>
            </w:r>
            <w:r>
              <w:rPr>
                <w:rFonts w:ascii="Arial Narrow" w:eastAsia="Times New Roman" w:hAnsi="Arial Narrow"/>
              </w:rPr>
              <w:t xml:space="preserve"> are not represented in Council meetings.</w:t>
            </w:r>
          </w:p>
        </w:tc>
        <w:tc>
          <w:tcPr>
            <w:tcW w:w="3260" w:type="dxa"/>
          </w:tcPr>
          <w:p w14:paraId="33D5598B" w14:textId="32682620" w:rsidR="00A83368" w:rsidRPr="006C3E18" w:rsidRDefault="00A83368" w:rsidP="00A83368">
            <w:pPr>
              <w:spacing w:line="276" w:lineRule="auto"/>
              <w:rPr>
                <w:rFonts w:ascii="Arial Narrow" w:hAnsi="Arial Narrow"/>
              </w:rPr>
            </w:pPr>
            <w:r w:rsidRPr="006C3E18">
              <w:rPr>
                <w:rFonts w:ascii="Arial Narrow" w:hAnsi="Arial Narrow"/>
              </w:rPr>
              <w:t>Written Response should be forwarded to the GPL on the resolution as adopted by the House</w:t>
            </w:r>
          </w:p>
        </w:tc>
        <w:tc>
          <w:tcPr>
            <w:tcW w:w="1436" w:type="dxa"/>
          </w:tcPr>
          <w:p w14:paraId="1AD8F327" w14:textId="7B7A54A4" w:rsidR="00A83368" w:rsidRPr="009E7B59" w:rsidRDefault="00A83368" w:rsidP="00A83368">
            <w:pPr>
              <w:spacing w:line="276" w:lineRule="auto"/>
              <w:rPr>
                <w:rFonts w:ascii="Arial Narrow" w:hAnsi="Arial Narrow"/>
              </w:rPr>
            </w:pPr>
            <w:r w:rsidRPr="009E7B59">
              <w:rPr>
                <w:rFonts w:ascii="Arial Narrow" w:hAnsi="Arial Narrow"/>
              </w:rPr>
              <w:t>31/01/202</w:t>
            </w:r>
            <w:r w:rsidR="000B7DB6" w:rsidRPr="009E7B59">
              <w:rPr>
                <w:rFonts w:ascii="Arial Narrow" w:hAnsi="Arial Narrow"/>
              </w:rPr>
              <w:t>4</w:t>
            </w:r>
          </w:p>
        </w:tc>
      </w:tr>
      <w:tr w:rsidR="002205B0" w:rsidRPr="006C3E18" w14:paraId="2DCD7EFB" w14:textId="77777777" w:rsidTr="00615AF4">
        <w:tc>
          <w:tcPr>
            <w:tcW w:w="13622" w:type="dxa"/>
            <w:gridSpan w:val="4"/>
            <w:shd w:val="clear" w:color="auto" w:fill="F2F2F2" w:themeFill="background1" w:themeFillShade="F2"/>
          </w:tcPr>
          <w:p w14:paraId="6FDA892D" w14:textId="77777777" w:rsidR="002205B0" w:rsidRPr="006C3E18" w:rsidRDefault="002205B0" w:rsidP="000F7DFB">
            <w:pPr>
              <w:rPr>
                <w:rFonts w:ascii="Arial Narrow" w:hAnsi="Arial Narrow"/>
              </w:rPr>
            </w:pPr>
          </w:p>
        </w:tc>
      </w:tr>
      <w:tr w:rsidR="002205B0" w:rsidRPr="006C3E18" w14:paraId="10E32D69" w14:textId="77777777" w:rsidTr="00615AF4">
        <w:tc>
          <w:tcPr>
            <w:tcW w:w="13622" w:type="dxa"/>
            <w:gridSpan w:val="4"/>
            <w:shd w:val="clear" w:color="auto" w:fill="F2DBDB" w:themeFill="accent2" w:themeFillTint="33"/>
          </w:tcPr>
          <w:p w14:paraId="3F8D31EF" w14:textId="77777777" w:rsidR="002205B0" w:rsidRPr="006C3E18" w:rsidRDefault="002205B0" w:rsidP="000F7DFB">
            <w:pPr>
              <w:rPr>
                <w:rFonts w:ascii="Arial Narrow" w:hAnsi="Arial Narrow"/>
                <w:b/>
                <w:bCs/>
              </w:rPr>
            </w:pPr>
            <w:r w:rsidRPr="006C3E18">
              <w:rPr>
                <w:rFonts w:ascii="Arial Narrow" w:hAnsi="Arial Narrow"/>
                <w:b/>
                <w:bCs/>
              </w:rPr>
              <w:t>Explanatory note on the reference numbers for Recommendations (ultimately Resolutions)</w:t>
            </w:r>
          </w:p>
          <w:p w14:paraId="26C173FE" w14:textId="7D2A47DC" w:rsidR="002205B0" w:rsidRPr="006C3E18" w:rsidRDefault="002205B0" w:rsidP="00E775B8">
            <w:pPr>
              <w:pStyle w:val="ListParagraph"/>
              <w:numPr>
                <w:ilvl w:val="0"/>
                <w:numId w:val="4"/>
              </w:numPr>
              <w:rPr>
                <w:rFonts w:ascii="Arial Narrow" w:eastAsiaTheme="minorEastAsia" w:hAnsi="Arial Narrow"/>
              </w:rPr>
            </w:pPr>
            <w:r w:rsidRPr="006C3E18">
              <w:rPr>
                <w:rFonts w:ascii="Arial Narrow" w:eastAsiaTheme="minorEastAsia" w:hAnsi="Arial Narrow"/>
              </w:rPr>
              <w:t xml:space="preserve">Reference number is in the </w:t>
            </w:r>
            <w:r w:rsidR="00141B32" w:rsidRPr="006C3E18">
              <w:rPr>
                <w:rFonts w:ascii="Arial Narrow" w:eastAsiaTheme="minorEastAsia" w:hAnsi="Arial Narrow"/>
              </w:rPr>
              <w:t>format:</w:t>
            </w:r>
            <w:r w:rsidRPr="006C3E18">
              <w:rPr>
                <w:rFonts w:ascii="Arial Narrow" w:eastAsiaTheme="minorEastAsia" w:hAnsi="Arial Narrow"/>
              </w:rPr>
              <w:t xml:space="preserve"> [A] / [B] / [C]</w:t>
            </w:r>
          </w:p>
          <w:p w14:paraId="668BACC4" w14:textId="7FC11BED" w:rsidR="002205B0" w:rsidRPr="006C3E18" w:rsidRDefault="002205B0" w:rsidP="00E775B8">
            <w:pPr>
              <w:pStyle w:val="ListParagraph"/>
              <w:numPr>
                <w:ilvl w:val="0"/>
                <w:numId w:val="4"/>
              </w:numPr>
              <w:rPr>
                <w:rFonts w:ascii="Arial Narrow" w:eastAsiaTheme="minorEastAsia" w:hAnsi="Arial Narrow"/>
              </w:rPr>
            </w:pPr>
            <w:r w:rsidRPr="006C3E18">
              <w:rPr>
                <w:rFonts w:ascii="Arial Narrow" w:eastAsiaTheme="minorEastAsia" w:hAnsi="Arial Narrow"/>
              </w:rPr>
              <w:t xml:space="preserve">[A] = The 3 letter Committee identifier. </w:t>
            </w:r>
            <w:r w:rsidR="00141B32">
              <w:rPr>
                <w:rFonts w:ascii="Arial Narrow" w:eastAsiaTheme="minorEastAsia" w:hAnsi="Arial Narrow"/>
              </w:rPr>
              <w:t>e</w:t>
            </w:r>
            <w:r w:rsidR="00141B32" w:rsidRPr="006C3E18">
              <w:rPr>
                <w:rFonts w:ascii="Arial Narrow" w:eastAsiaTheme="minorEastAsia" w:hAnsi="Arial Narrow"/>
              </w:rPr>
              <w:t>.g.,</w:t>
            </w:r>
            <w:r w:rsidRPr="006C3E18">
              <w:rPr>
                <w:rFonts w:ascii="Arial Narrow" w:eastAsiaTheme="minorEastAsia" w:hAnsi="Arial Narrow"/>
              </w:rPr>
              <w:t xml:space="preserve"> COGTA/</w:t>
            </w:r>
            <w:r w:rsidR="00753223">
              <w:rPr>
                <w:rFonts w:ascii="Arial Narrow" w:eastAsiaTheme="minorEastAsia" w:hAnsi="Arial Narrow"/>
              </w:rPr>
              <w:t>eGOV</w:t>
            </w:r>
            <w:r w:rsidRPr="006C3E18">
              <w:rPr>
                <w:rFonts w:ascii="Arial Narrow" w:eastAsiaTheme="minorEastAsia" w:hAnsi="Arial Narrow"/>
              </w:rPr>
              <w:t xml:space="preserve"> can be “CHS”, SRAC can be “SRA”</w:t>
            </w:r>
          </w:p>
          <w:p w14:paraId="176FBEB6" w14:textId="5E47BB06" w:rsidR="002205B0" w:rsidRPr="006C3E18" w:rsidRDefault="002205B0" w:rsidP="00E775B8">
            <w:pPr>
              <w:pStyle w:val="ListParagraph"/>
              <w:numPr>
                <w:ilvl w:val="0"/>
                <w:numId w:val="4"/>
              </w:numPr>
              <w:rPr>
                <w:rFonts w:ascii="Arial Narrow" w:eastAsiaTheme="minorEastAsia" w:hAnsi="Arial Narrow"/>
              </w:rPr>
            </w:pPr>
            <w:r w:rsidRPr="006C3E18">
              <w:rPr>
                <w:rFonts w:ascii="Arial Narrow" w:eastAsiaTheme="minorEastAsia" w:hAnsi="Arial Narrow"/>
              </w:rPr>
              <w:t xml:space="preserve">[B] = The </w:t>
            </w:r>
            <w:r w:rsidR="00800373" w:rsidRPr="006C3E18">
              <w:rPr>
                <w:rFonts w:ascii="Arial Narrow" w:eastAsiaTheme="minorEastAsia" w:hAnsi="Arial Narrow"/>
              </w:rPr>
              <w:t>4-digit</w:t>
            </w:r>
            <w:r w:rsidRPr="006C3E18">
              <w:rPr>
                <w:rFonts w:ascii="Arial Narrow" w:eastAsiaTheme="minorEastAsia" w:hAnsi="Arial Narrow"/>
              </w:rPr>
              <w:t xml:space="preserve"> identifier for the SOM Imperative [</w:t>
            </w:r>
            <w:r w:rsidR="00141B32" w:rsidRPr="006C3E18">
              <w:rPr>
                <w:rFonts w:ascii="Arial Narrow" w:eastAsiaTheme="minorEastAsia" w:hAnsi="Arial Narrow"/>
              </w:rPr>
              <w:t>e.g.,</w:t>
            </w:r>
            <w:r w:rsidRPr="006C3E18">
              <w:rPr>
                <w:rFonts w:ascii="Arial Narrow" w:eastAsiaTheme="minorEastAsia" w:hAnsi="Arial Narrow"/>
              </w:rPr>
              <w:t xml:space="preserve"> Q1PR or Q2PR or FIS1 or APR, or BV. In this case, since this is a Q-Report template, it will either be Q1PR or Q2PR or Q3PR or Q4PR]</w:t>
            </w:r>
          </w:p>
          <w:p w14:paraId="34F407FC" w14:textId="1C65AC4D" w:rsidR="002205B0" w:rsidRPr="006C3E18" w:rsidRDefault="002205B0" w:rsidP="00E775B8">
            <w:pPr>
              <w:pStyle w:val="ListParagraph"/>
              <w:numPr>
                <w:ilvl w:val="0"/>
                <w:numId w:val="4"/>
              </w:numPr>
              <w:rPr>
                <w:rFonts w:ascii="Arial Narrow" w:eastAsiaTheme="minorEastAsia" w:hAnsi="Arial Narrow"/>
              </w:rPr>
            </w:pPr>
            <w:r w:rsidRPr="006C3E18">
              <w:rPr>
                <w:rFonts w:ascii="Arial Narrow" w:eastAsiaTheme="minorEastAsia" w:hAnsi="Arial Narrow"/>
              </w:rPr>
              <w:t xml:space="preserve">[C] = The </w:t>
            </w:r>
            <w:r w:rsidR="00800373" w:rsidRPr="006C3E18">
              <w:rPr>
                <w:rFonts w:ascii="Arial Narrow" w:eastAsiaTheme="minorEastAsia" w:hAnsi="Arial Narrow"/>
              </w:rPr>
              <w:t>3-digit</w:t>
            </w:r>
            <w:r w:rsidRPr="006C3E18">
              <w:rPr>
                <w:rFonts w:ascii="Arial Narrow" w:eastAsiaTheme="minorEastAsia" w:hAnsi="Arial Narrow"/>
              </w:rPr>
              <w:t xml:space="preserve"> number of the recommendation in this report [001,002,003 …, 00n]</w:t>
            </w:r>
          </w:p>
        </w:tc>
      </w:tr>
    </w:tbl>
    <w:p w14:paraId="056CBA80" w14:textId="452A18B2" w:rsidR="006F067F" w:rsidRPr="006C3E18" w:rsidRDefault="006F067F" w:rsidP="006F067F">
      <w:pPr>
        <w:pStyle w:val="Heading1"/>
        <w:shd w:val="clear" w:color="auto" w:fill="D9D9D9" w:themeFill="background1" w:themeFillShade="D9"/>
        <w:rPr>
          <w:rFonts w:ascii="Arial Narrow" w:hAnsi="Arial Narrow"/>
          <w:color w:val="auto"/>
          <w:sz w:val="22"/>
          <w:szCs w:val="22"/>
        </w:rPr>
      </w:pPr>
      <w:bookmarkStart w:id="25" w:name="_Toc50576924"/>
      <w:r w:rsidRPr="006C3E18">
        <w:rPr>
          <w:rFonts w:ascii="Arial Narrow" w:hAnsi="Arial Narrow"/>
          <w:color w:val="auto"/>
          <w:sz w:val="22"/>
          <w:szCs w:val="22"/>
        </w:rPr>
        <w:t>14</w:t>
      </w:r>
      <w:r w:rsidRPr="006C3E18">
        <w:rPr>
          <w:rFonts w:ascii="Arial Narrow" w:hAnsi="Arial Narrow"/>
          <w:color w:val="auto"/>
          <w:sz w:val="22"/>
          <w:szCs w:val="22"/>
        </w:rPr>
        <w:tab/>
        <w:t>ACKNOWLEDGEMENTS</w:t>
      </w:r>
      <w:bookmarkEnd w:id="25"/>
      <w:r w:rsidRPr="006C3E18">
        <w:rPr>
          <w:rFonts w:ascii="Arial Narrow" w:hAnsi="Arial Narrow"/>
          <w:color w:val="auto"/>
          <w:sz w:val="22"/>
          <w:szCs w:val="22"/>
        </w:rPr>
        <w:t xml:space="preserve"> </w:t>
      </w:r>
    </w:p>
    <w:p w14:paraId="2D9170E3" w14:textId="77777777" w:rsidR="007B26E4" w:rsidRDefault="007B26E4" w:rsidP="003F4C16">
      <w:pPr>
        <w:jc w:val="lowKashida"/>
        <w:rPr>
          <w:rFonts w:ascii="Arial Narrow" w:eastAsia="Times New Roman" w:hAnsi="Arial Narrow" w:cs="Arial"/>
          <w:lang w:eastAsia="x-none"/>
        </w:rPr>
      </w:pPr>
      <w:bookmarkStart w:id="26" w:name="_Toc50576925"/>
    </w:p>
    <w:p w14:paraId="520C9C88" w14:textId="2C28A011" w:rsidR="003F4C16" w:rsidRDefault="003F4C16" w:rsidP="003F4C16">
      <w:pPr>
        <w:jc w:val="lowKashida"/>
        <w:rPr>
          <w:rFonts w:ascii="Arial Narrow" w:eastAsia="Times New Roman" w:hAnsi="Arial Narrow" w:cs="Arial"/>
          <w:lang w:eastAsia="x-none"/>
        </w:rPr>
      </w:pPr>
      <w:r w:rsidRPr="003F4C16">
        <w:rPr>
          <w:rFonts w:ascii="Arial Narrow" w:eastAsia="Times New Roman" w:hAnsi="Arial Narrow" w:cs="Arial"/>
          <w:lang w:eastAsia="x-none"/>
        </w:rPr>
        <w:t xml:space="preserve">The </w:t>
      </w:r>
      <w:r w:rsidR="006620B5">
        <w:rPr>
          <w:rFonts w:ascii="Arial Narrow" w:eastAsia="Times New Roman" w:hAnsi="Arial Narrow" w:cs="Arial"/>
          <w:lang w:eastAsia="x-none"/>
        </w:rPr>
        <w:t xml:space="preserve">Acting </w:t>
      </w:r>
      <w:r w:rsidRPr="003F4C16">
        <w:rPr>
          <w:rFonts w:ascii="Arial Narrow" w:eastAsia="Times New Roman" w:hAnsi="Arial Narrow" w:cs="Arial"/>
          <w:lang w:eastAsia="x-none"/>
        </w:rPr>
        <w:t xml:space="preserve">Chairperson, Hon. </w:t>
      </w:r>
      <w:r w:rsidR="006620B5">
        <w:rPr>
          <w:rFonts w:ascii="Arial Narrow" w:eastAsia="Times New Roman" w:hAnsi="Arial Narrow" w:cs="Arial"/>
          <w:lang w:eastAsia="x-none"/>
        </w:rPr>
        <w:t>Busisiwe Mncube</w:t>
      </w:r>
      <w:r w:rsidRPr="003F4C16">
        <w:rPr>
          <w:rFonts w:ascii="Arial Narrow" w:eastAsia="Times New Roman" w:hAnsi="Arial Narrow" w:cs="Arial"/>
          <w:lang w:eastAsia="x-none"/>
        </w:rPr>
        <w:t>, wishes to thank the Honourable MEC Mr. Mzi Khumalo, the HOD, Dr. D Baclay together with his team from the Gauteng Department of Cooperative Governance and Traditional Affairs for their cooperation and participation in Portfolio Committee activities.</w:t>
      </w:r>
    </w:p>
    <w:p w14:paraId="26E66C3A" w14:textId="77777777" w:rsidR="003F4C16" w:rsidRPr="003F4C16" w:rsidRDefault="003F4C16" w:rsidP="003F4C16">
      <w:pPr>
        <w:jc w:val="lowKashida"/>
        <w:rPr>
          <w:rFonts w:ascii="Arial Narrow" w:eastAsia="Times New Roman" w:hAnsi="Arial Narrow" w:cs="Arial"/>
          <w:lang w:eastAsia="x-none"/>
        </w:rPr>
      </w:pPr>
    </w:p>
    <w:p w14:paraId="48DDFA80" w14:textId="7BDA41EB" w:rsidR="003F4C16" w:rsidRPr="003F4C16" w:rsidRDefault="003F4C16" w:rsidP="003F4C16">
      <w:pPr>
        <w:jc w:val="lowKashida"/>
        <w:rPr>
          <w:rFonts w:ascii="Arial Narrow" w:eastAsia="Times New Roman" w:hAnsi="Arial Narrow" w:cs="Arial"/>
          <w:lang w:eastAsia="x-none"/>
        </w:rPr>
      </w:pPr>
      <w:r w:rsidRPr="003F4C16">
        <w:rPr>
          <w:rFonts w:ascii="Arial Narrow" w:eastAsia="Times New Roman" w:hAnsi="Arial Narrow" w:cs="Arial"/>
          <w:lang w:eastAsia="x-none"/>
        </w:rPr>
        <w:t xml:space="preserve">The Chairperson </w:t>
      </w:r>
      <w:r w:rsidR="00387898">
        <w:rPr>
          <w:rFonts w:ascii="Arial Narrow" w:eastAsia="Times New Roman" w:hAnsi="Arial Narrow" w:cs="Arial"/>
          <w:lang w:eastAsia="x-none"/>
        </w:rPr>
        <w:t xml:space="preserve">also </w:t>
      </w:r>
      <w:r w:rsidRPr="003F4C16">
        <w:rPr>
          <w:rFonts w:ascii="Arial Narrow" w:eastAsia="Times New Roman" w:hAnsi="Arial Narrow" w:cs="Arial"/>
          <w:lang w:eastAsia="x-none"/>
        </w:rPr>
        <w:t>wishes to acknowledge and express her gratitude to the Honourable Members of the Portfolio Committee on CoGTA and E-Gov; Mr. P. Malema; Ms. B Mncube; Mr. T Msimanga; Mr. N De Jager; Mr. B Dlamini; Mr. P Makwala; Ms. N Njokwe; Ms. A. De Lange; Ms I. Cilliers and Ms. D Mdlankomo.</w:t>
      </w:r>
    </w:p>
    <w:p w14:paraId="3096C2E7" w14:textId="77777777" w:rsidR="001C76B3" w:rsidRPr="006C3E18" w:rsidRDefault="001C76B3" w:rsidP="006E65EA">
      <w:pPr>
        <w:jc w:val="lowKashida"/>
        <w:rPr>
          <w:rFonts w:ascii="Arial Narrow" w:eastAsia="Calibri" w:hAnsi="Arial Narrow" w:cs="Arial"/>
        </w:rPr>
      </w:pPr>
    </w:p>
    <w:p w14:paraId="0EA5DB2B" w14:textId="09C59C5B" w:rsidR="0093042D" w:rsidRPr="006C3E18" w:rsidRDefault="0093042D" w:rsidP="0093042D">
      <w:pPr>
        <w:jc w:val="lowKashida"/>
        <w:rPr>
          <w:rFonts w:ascii="Arial Narrow" w:eastAsia="Calibri" w:hAnsi="Arial Narrow" w:cs="Arial"/>
        </w:rPr>
      </w:pPr>
      <w:r w:rsidRPr="006C3E18">
        <w:rPr>
          <w:rFonts w:ascii="Arial Narrow" w:eastAsia="Calibri" w:hAnsi="Arial Narrow" w:cs="Arial"/>
        </w:rPr>
        <w:t xml:space="preserve">Furthermore, the Portfolio Committee would like to express appreciation for the contribution of the following support staff members: Group Committee Coordinator Ms. Z Pantshwa-Mbalo; Senior Researcher Ms. S Nenweli, </w:t>
      </w:r>
      <w:r w:rsidR="00F512F2" w:rsidRPr="00F512F2">
        <w:rPr>
          <w:rFonts w:ascii="Arial Narrow" w:eastAsia="Calibri" w:hAnsi="Arial Narrow" w:cs="Arial"/>
        </w:rPr>
        <w:t xml:space="preserve">Committee Coordinator Ms. J. Nyembe </w:t>
      </w:r>
      <w:r w:rsidR="00F512F2">
        <w:rPr>
          <w:rFonts w:ascii="Arial Narrow" w:eastAsia="Calibri" w:hAnsi="Arial Narrow" w:cs="Arial"/>
        </w:rPr>
        <w:t xml:space="preserve">; </w:t>
      </w:r>
      <w:r w:rsidRPr="006C3E18">
        <w:rPr>
          <w:rFonts w:ascii="Arial Narrow" w:eastAsia="Calibri" w:hAnsi="Arial Narrow" w:cs="Arial"/>
        </w:rPr>
        <w:t>Committee Researcher M</w:t>
      </w:r>
      <w:r w:rsidR="00F512F2">
        <w:rPr>
          <w:rFonts w:ascii="Arial Narrow" w:eastAsia="Calibri" w:hAnsi="Arial Narrow" w:cs="Arial"/>
        </w:rPr>
        <w:t>r. S Nene</w:t>
      </w:r>
      <w:r w:rsidRPr="006C3E18">
        <w:rPr>
          <w:rFonts w:ascii="Arial Narrow" w:eastAsia="Calibri" w:hAnsi="Arial Narrow" w:cs="Arial"/>
        </w:rPr>
        <w:t xml:space="preserve">; Committee Administrator, Ms N. </w:t>
      </w:r>
      <w:r w:rsidR="008B3566">
        <w:rPr>
          <w:rFonts w:ascii="Arial Narrow" w:eastAsia="Calibri" w:hAnsi="Arial Narrow" w:cs="Arial"/>
        </w:rPr>
        <w:t>Mthembu</w:t>
      </w:r>
      <w:r w:rsidRPr="006C3E18">
        <w:rPr>
          <w:rFonts w:ascii="Arial Narrow" w:eastAsia="Calibri" w:hAnsi="Arial Narrow" w:cs="Arial"/>
        </w:rPr>
        <w:t xml:space="preserve">; Service Officer, Ms C. Mnethwa; Hansard Recorder, Mr. N </w:t>
      </w:r>
      <w:r w:rsidR="008B3566" w:rsidRPr="006C3E18">
        <w:rPr>
          <w:rFonts w:ascii="Arial Narrow" w:eastAsia="Calibri" w:hAnsi="Arial Narrow" w:cs="Arial"/>
        </w:rPr>
        <w:t>Mbonane</w:t>
      </w:r>
      <w:r w:rsidRPr="006C3E18">
        <w:rPr>
          <w:rFonts w:ascii="Arial Narrow" w:eastAsia="Calibri" w:hAnsi="Arial Narrow" w:cs="Arial"/>
        </w:rPr>
        <w:t>; Senior Information officer, Mr Lebogang Ncume; and Media Officer; Ms. P</w:t>
      </w:r>
      <w:r w:rsidRPr="006C3E18">
        <w:rPr>
          <w:rFonts w:ascii="Calibri" w:eastAsia="Calibri" w:hAnsi="Calibri" w:cs="Times New Roman"/>
        </w:rPr>
        <w:t xml:space="preserve"> </w:t>
      </w:r>
      <w:r w:rsidRPr="006C3E18">
        <w:rPr>
          <w:rFonts w:ascii="Arial Narrow" w:eastAsia="Calibri" w:hAnsi="Arial Narrow" w:cs="Arial"/>
        </w:rPr>
        <w:t xml:space="preserve">Bulasigobo for their dedication and commitment. </w:t>
      </w:r>
    </w:p>
    <w:p w14:paraId="0A12C6AD" w14:textId="288572F1" w:rsidR="006F067F" w:rsidRPr="006C3E18" w:rsidRDefault="006F067F" w:rsidP="00400374">
      <w:pPr>
        <w:pStyle w:val="Heading1"/>
        <w:shd w:val="clear" w:color="auto" w:fill="D9D9D9" w:themeFill="background1" w:themeFillShade="D9"/>
        <w:spacing w:line="276" w:lineRule="auto"/>
        <w:rPr>
          <w:rFonts w:ascii="Arial Narrow" w:hAnsi="Arial Narrow"/>
          <w:color w:val="auto"/>
          <w:sz w:val="22"/>
          <w:szCs w:val="22"/>
        </w:rPr>
      </w:pPr>
      <w:r w:rsidRPr="006C3E18">
        <w:rPr>
          <w:rFonts w:ascii="Arial Narrow" w:hAnsi="Arial Narrow"/>
          <w:color w:val="auto"/>
          <w:sz w:val="22"/>
          <w:szCs w:val="22"/>
        </w:rPr>
        <w:t>15</w:t>
      </w:r>
      <w:r w:rsidR="001D5D37">
        <w:rPr>
          <w:rFonts w:ascii="Arial Narrow" w:hAnsi="Arial Narrow"/>
          <w:color w:val="auto"/>
          <w:sz w:val="22"/>
          <w:szCs w:val="22"/>
        </w:rPr>
        <w:t>.</w:t>
      </w:r>
      <w:r w:rsidRPr="006C3E18">
        <w:rPr>
          <w:rFonts w:ascii="Arial Narrow" w:hAnsi="Arial Narrow"/>
          <w:color w:val="auto"/>
          <w:sz w:val="22"/>
          <w:szCs w:val="22"/>
        </w:rPr>
        <w:tab/>
        <w:t>ADOPTION</w:t>
      </w:r>
      <w:bookmarkEnd w:id="26"/>
    </w:p>
    <w:p w14:paraId="5E135B46" w14:textId="77777777" w:rsidR="007B26E4" w:rsidRDefault="007B26E4" w:rsidP="007C4FF9">
      <w:pPr>
        <w:spacing w:after="200"/>
        <w:jc w:val="left"/>
        <w:rPr>
          <w:rFonts w:ascii="Arial Narrow" w:hAnsi="Arial Narrow"/>
        </w:rPr>
      </w:pPr>
    </w:p>
    <w:p w14:paraId="1C95D21B" w14:textId="27A1830B" w:rsidR="006422E5" w:rsidRPr="006C3E18" w:rsidRDefault="006422E5" w:rsidP="007C4FF9">
      <w:pPr>
        <w:spacing w:after="200"/>
        <w:jc w:val="left"/>
        <w:rPr>
          <w:rFonts w:ascii="Arial Narrow" w:hAnsi="Arial Narrow"/>
          <w:b/>
          <w:bCs/>
        </w:rPr>
      </w:pPr>
      <w:r w:rsidRPr="006C3E18">
        <w:rPr>
          <w:rFonts w:ascii="Arial Narrow" w:hAnsi="Arial Narrow"/>
        </w:rPr>
        <w:t xml:space="preserve">In terms of Rule 117 (2)(c) read together with 164, the </w:t>
      </w:r>
      <w:r w:rsidR="0093042D" w:rsidRPr="006C3E18">
        <w:rPr>
          <w:rFonts w:ascii="Arial Narrow" w:hAnsi="Arial Narrow"/>
        </w:rPr>
        <w:t xml:space="preserve">CoGTA and </w:t>
      </w:r>
      <w:r w:rsidR="001642B9">
        <w:rPr>
          <w:rFonts w:ascii="Arial Narrow" w:hAnsi="Arial Narrow"/>
        </w:rPr>
        <w:t>E-</w:t>
      </w:r>
      <w:r w:rsidR="00380771">
        <w:rPr>
          <w:rFonts w:ascii="Arial Narrow" w:hAnsi="Arial Narrow"/>
        </w:rPr>
        <w:t xml:space="preserve">Gov </w:t>
      </w:r>
      <w:r w:rsidR="00380771" w:rsidRPr="006C3E18">
        <w:rPr>
          <w:rFonts w:ascii="Arial Narrow" w:hAnsi="Arial Narrow"/>
        </w:rPr>
        <w:t>Portfolio</w:t>
      </w:r>
      <w:r w:rsidRPr="006C3E18">
        <w:rPr>
          <w:rFonts w:ascii="Arial Narrow" w:hAnsi="Arial Narrow"/>
        </w:rPr>
        <w:t xml:space="preserve"> Committee presents the Oversight Report on the </w:t>
      </w:r>
      <w:r w:rsidR="00085D9B">
        <w:rPr>
          <w:rFonts w:ascii="Arial Narrow" w:hAnsi="Arial Narrow"/>
        </w:rPr>
        <w:t>2</w:t>
      </w:r>
      <w:r w:rsidR="00085D9B" w:rsidRPr="00085D9B">
        <w:rPr>
          <w:rFonts w:ascii="Arial Narrow" w:hAnsi="Arial Narrow"/>
          <w:vertAlign w:val="superscript"/>
        </w:rPr>
        <w:t>nd</w:t>
      </w:r>
      <w:r w:rsidR="00085D9B">
        <w:rPr>
          <w:rFonts w:ascii="Arial Narrow" w:hAnsi="Arial Narrow"/>
        </w:rPr>
        <w:t xml:space="preserve"> </w:t>
      </w:r>
      <w:r w:rsidRPr="006C3E18">
        <w:rPr>
          <w:rFonts w:ascii="Arial Narrow" w:hAnsi="Arial Narrow"/>
        </w:rPr>
        <w:t xml:space="preserve">Quarterly Performance Report of the Gauteng Department of </w:t>
      </w:r>
      <w:r w:rsidR="00D112BC">
        <w:rPr>
          <w:rFonts w:ascii="Arial Narrow" w:hAnsi="Arial Narrow"/>
        </w:rPr>
        <w:t>CoGTA</w:t>
      </w:r>
      <w:r w:rsidR="0093042D" w:rsidRPr="006C3E18">
        <w:rPr>
          <w:rFonts w:ascii="Arial Narrow" w:hAnsi="Arial Narrow"/>
        </w:rPr>
        <w:t xml:space="preserve"> </w:t>
      </w:r>
      <w:r w:rsidRPr="006C3E18">
        <w:rPr>
          <w:rFonts w:ascii="Arial Narrow" w:hAnsi="Arial Narrow"/>
        </w:rPr>
        <w:t>for the 202</w:t>
      </w:r>
      <w:r w:rsidR="00F27D84">
        <w:rPr>
          <w:rFonts w:ascii="Arial Narrow" w:hAnsi="Arial Narrow"/>
        </w:rPr>
        <w:t>3</w:t>
      </w:r>
      <w:r w:rsidRPr="006C3E18">
        <w:rPr>
          <w:rFonts w:ascii="Arial Narrow" w:hAnsi="Arial Narrow"/>
        </w:rPr>
        <w:t>/2</w:t>
      </w:r>
      <w:r w:rsidR="00F27D84">
        <w:rPr>
          <w:rFonts w:ascii="Arial Narrow" w:hAnsi="Arial Narrow"/>
        </w:rPr>
        <w:t>4</w:t>
      </w:r>
      <w:r w:rsidRPr="006C3E18">
        <w:rPr>
          <w:rFonts w:ascii="Arial Narrow" w:hAnsi="Arial Narrow"/>
        </w:rPr>
        <w:t xml:space="preserve"> financial year and </w:t>
      </w:r>
      <w:r w:rsidR="00631DAC">
        <w:rPr>
          <w:rFonts w:ascii="Arial Narrow" w:hAnsi="Arial Narrow"/>
        </w:rPr>
        <w:t xml:space="preserve">proposed </w:t>
      </w:r>
      <w:r w:rsidRPr="006C3E18">
        <w:rPr>
          <w:rFonts w:ascii="Arial Narrow" w:hAnsi="Arial Narrow"/>
        </w:rPr>
        <w:t>recommend</w:t>
      </w:r>
      <w:r w:rsidR="00F27D84">
        <w:rPr>
          <w:rFonts w:ascii="Arial Narrow" w:hAnsi="Arial Narrow"/>
        </w:rPr>
        <w:t>ation</w:t>
      </w:r>
      <w:r w:rsidR="00881F68">
        <w:rPr>
          <w:rFonts w:ascii="Arial Narrow" w:hAnsi="Arial Narrow"/>
        </w:rPr>
        <w:t>s</w:t>
      </w:r>
      <w:r w:rsidR="00F27D84">
        <w:rPr>
          <w:rFonts w:ascii="Arial Narrow" w:hAnsi="Arial Narrow"/>
        </w:rPr>
        <w:t xml:space="preserve"> for </w:t>
      </w:r>
      <w:r w:rsidRPr="006C3E18">
        <w:rPr>
          <w:rFonts w:ascii="Arial Narrow" w:hAnsi="Arial Narrow"/>
        </w:rPr>
        <w:t xml:space="preserve">adoption. </w:t>
      </w:r>
    </w:p>
    <w:p w14:paraId="465E4291" w14:textId="07A5B2C8" w:rsidR="006422E5" w:rsidRPr="006C3E18" w:rsidRDefault="006422E5">
      <w:pPr>
        <w:spacing w:after="200" w:line="276" w:lineRule="auto"/>
        <w:jc w:val="left"/>
        <w:rPr>
          <w:rFonts w:ascii="Arial Narrow" w:hAnsi="Arial Narrow"/>
        </w:rPr>
      </w:pPr>
    </w:p>
    <w:p w14:paraId="7AC85707" w14:textId="72BFA678" w:rsidR="006422E5" w:rsidRPr="006C3E18" w:rsidRDefault="006422E5">
      <w:pPr>
        <w:spacing w:after="200" w:line="276" w:lineRule="auto"/>
        <w:jc w:val="left"/>
        <w:rPr>
          <w:rFonts w:ascii="Arial Narrow" w:hAnsi="Arial Narrow"/>
        </w:rPr>
      </w:pPr>
    </w:p>
    <w:p w14:paraId="3D623E68" w14:textId="72C0B9C8" w:rsidR="006422E5" w:rsidRDefault="006422E5">
      <w:pPr>
        <w:spacing w:after="200" w:line="276" w:lineRule="auto"/>
        <w:jc w:val="left"/>
        <w:rPr>
          <w:rFonts w:ascii="Arial Narrow" w:hAnsi="Arial Narrow"/>
        </w:rPr>
      </w:pPr>
    </w:p>
    <w:p w14:paraId="66A430EE" w14:textId="3EC2D936" w:rsidR="00733E2F" w:rsidRDefault="00733E2F" w:rsidP="00733E2F">
      <w:pPr>
        <w:rPr>
          <w:rFonts w:ascii="Arial Narrow" w:hAnsi="Arial Narrow"/>
        </w:rPr>
      </w:pPr>
    </w:p>
    <w:p w14:paraId="5413C16F" w14:textId="14F0B0D8" w:rsidR="00733E2F" w:rsidRPr="00733E2F" w:rsidRDefault="00733E2F" w:rsidP="00733E2F">
      <w:pPr>
        <w:tabs>
          <w:tab w:val="left" w:pos="11400"/>
        </w:tabs>
        <w:rPr>
          <w:rFonts w:ascii="Arial Narrow" w:hAnsi="Arial Narrow"/>
        </w:rPr>
      </w:pPr>
      <w:r>
        <w:rPr>
          <w:rFonts w:ascii="Arial Narrow" w:hAnsi="Arial Narrow"/>
        </w:rPr>
        <w:tab/>
      </w:r>
    </w:p>
    <w:sectPr w:rsidR="00733E2F" w:rsidRPr="00733E2F" w:rsidSect="00527ABA">
      <w:footerReference w:type="default" r:id="rId11"/>
      <w:headerReference w:type="first" r:id="rId12"/>
      <w:pgSz w:w="16838" w:h="11906" w:orient="landscape"/>
      <w:pgMar w:top="851" w:right="1440" w:bottom="1276"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4167" w14:textId="77777777" w:rsidR="00B94360" w:rsidRDefault="00B94360" w:rsidP="00A409BC">
      <w:pPr>
        <w:spacing w:line="240" w:lineRule="auto"/>
      </w:pPr>
      <w:r>
        <w:separator/>
      </w:r>
    </w:p>
  </w:endnote>
  <w:endnote w:type="continuationSeparator" w:id="0">
    <w:p w14:paraId="3B518F2D" w14:textId="77777777" w:rsidR="00B94360" w:rsidRDefault="00B94360"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1723"/>
      <w:docPartObj>
        <w:docPartGallery w:val="Page Numbers (Bottom of Page)"/>
        <w:docPartUnique/>
      </w:docPartObj>
    </w:sdtPr>
    <w:sdtContent>
      <w:sdt>
        <w:sdtPr>
          <w:id w:val="565050523"/>
          <w:docPartObj>
            <w:docPartGallery w:val="Page Numbers (Top of Page)"/>
            <w:docPartUnique/>
          </w:docPartObj>
        </w:sdtPr>
        <w:sdtContent>
          <w:p w14:paraId="4FB377F0" w14:textId="353671DA" w:rsidR="00354FDC" w:rsidRDefault="00354FDC" w:rsidP="00C44CAC">
            <w:pPr>
              <w:pStyle w:val="Footer"/>
              <w:tabs>
                <w:tab w:val="left" w:pos="7685"/>
              </w:tabs>
              <w:jc w:val="left"/>
            </w:pPr>
            <w:r>
              <w:rPr>
                <w:rFonts w:ascii="Arial Narrow" w:hAnsi="Arial Narrow" w:cs="Times New Roman"/>
                <w:sz w:val="20"/>
                <w:szCs w:val="20"/>
              </w:rPr>
              <w:t>GPL Committee (oversight of CoGTA) Report to the House</w:t>
            </w:r>
            <w:r w:rsidRPr="00C27A28">
              <w:rPr>
                <w:rFonts w:ascii="Arial Narrow" w:hAnsi="Arial Narrow" w:cs="Times New Roman"/>
                <w:sz w:val="20"/>
                <w:szCs w:val="20"/>
              </w:rPr>
              <w:t>. Q</w:t>
            </w:r>
            <w:r>
              <w:rPr>
                <w:rFonts w:ascii="Arial Narrow" w:hAnsi="Arial Narrow" w:cs="Times New Roman"/>
                <w:sz w:val="20"/>
                <w:szCs w:val="20"/>
              </w:rPr>
              <w:t>2</w:t>
            </w:r>
            <w:r w:rsidRPr="00C27A28">
              <w:rPr>
                <w:rFonts w:ascii="Arial Narrow" w:hAnsi="Arial Narrow" w:cs="Times New Roman"/>
                <w:sz w:val="20"/>
                <w:szCs w:val="20"/>
              </w:rPr>
              <w:t>-Report</w:t>
            </w:r>
            <w:r>
              <w:rPr>
                <w:rFonts w:ascii="Arial Narrow" w:hAnsi="Arial Narrow" w:cs="Times New Roman"/>
                <w:sz w:val="20"/>
                <w:szCs w:val="20"/>
              </w:rPr>
              <w:t>-202</w:t>
            </w:r>
            <w:r w:rsidR="00AE354F">
              <w:rPr>
                <w:rFonts w:ascii="Arial Narrow" w:hAnsi="Arial Narrow" w:cs="Times New Roman"/>
                <w:sz w:val="20"/>
                <w:szCs w:val="20"/>
              </w:rPr>
              <w:t>3</w:t>
            </w:r>
            <w:r>
              <w:rPr>
                <w:rFonts w:ascii="Arial Narrow" w:hAnsi="Arial Narrow" w:cs="Times New Roman"/>
                <w:sz w:val="20"/>
                <w:szCs w:val="20"/>
              </w:rPr>
              <w:t>/2</w:t>
            </w:r>
            <w:r w:rsidR="00755F1D">
              <w:rPr>
                <w:rFonts w:ascii="Arial Narrow" w:hAnsi="Arial Narrow" w:cs="Times New Roman"/>
                <w:sz w:val="20"/>
                <w:szCs w:val="20"/>
              </w:rPr>
              <w:t>4</w:t>
            </w:r>
            <w:r>
              <w:rPr>
                <w:rFonts w:ascii="Arial Narrow" w:hAnsi="Arial Narrow" w:cs="Times New Roman"/>
                <w:sz w:val="20"/>
                <w:szCs w:val="20"/>
              </w:rPr>
              <w:t xml:space="preserve"> FY</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354FDC" w:rsidRDefault="00354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D448" w14:textId="77777777" w:rsidR="00B94360" w:rsidRDefault="00B94360" w:rsidP="00A409BC">
      <w:pPr>
        <w:spacing w:line="240" w:lineRule="auto"/>
      </w:pPr>
      <w:r>
        <w:separator/>
      </w:r>
    </w:p>
  </w:footnote>
  <w:footnote w:type="continuationSeparator" w:id="0">
    <w:p w14:paraId="40E3B8AB" w14:textId="77777777" w:rsidR="00B94360" w:rsidRDefault="00B94360"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133B" w14:textId="7D670AED" w:rsidR="00354FDC" w:rsidRDefault="00354FDC">
    <w:pPr>
      <w:pStyle w:val="Header"/>
    </w:pPr>
    <w:bookmarkStart w:id="27" w:name="_Toc480125572"/>
    <w:bookmarkStart w:id="28"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2"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7"/>
    <w:bookmarkEnd w:id="2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5848"/>
    <w:multiLevelType w:val="hybridMultilevel"/>
    <w:tmpl w:val="D81A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20292"/>
    <w:multiLevelType w:val="hybridMultilevel"/>
    <w:tmpl w:val="9F4A53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1202EF6"/>
    <w:multiLevelType w:val="hybridMultilevel"/>
    <w:tmpl w:val="9F3890A0"/>
    <w:lvl w:ilvl="0" w:tplc="1C090001">
      <w:start w:val="1"/>
      <w:numFmt w:val="bullet"/>
      <w:lvlText w:val=""/>
      <w:lvlJc w:val="left"/>
      <w:pPr>
        <w:ind w:left="1647" w:hanging="360"/>
      </w:pPr>
      <w:rPr>
        <w:rFonts w:ascii="Symbol" w:hAnsi="Symbol" w:hint="default"/>
      </w:rPr>
    </w:lvl>
    <w:lvl w:ilvl="1" w:tplc="1C090003" w:tentative="1">
      <w:start w:val="1"/>
      <w:numFmt w:val="bullet"/>
      <w:lvlText w:val="o"/>
      <w:lvlJc w:val="left"/>
      <w:pPr>
        <w:ind w:left="2367" w:hanging="360"/>
      </w:pPr>
      <w:rPr>
        <w:rFonts w:ascii="Courier New" w:hAnsi="Courier New" w:cs="Courier New" w:hint="default"/>
      </w:rPr>
    </w:lvl>
    <w:lvl w:ilvl="2" w:tplc="1C090005" w:tentative="1">
      <w:start w:val="1"/>
      <w:numFmt w:val="bullet"/>
      <w:lvlText w:val=""/>
      <w:lvlJc w:val="left"/>
      <w:pPr>
        <w:ind w:left="3087" w:hanging="360"/>
      </w:pPr>
      <w:rPr>
        <w:rFonts w:ascii="Wingdings" w:hAnsi="Wingdings" w:hint="default"/>
      </w:rPr>
    </w:lvl>
    <w:lvl w:ilvl="3" w:tplc="1C090001" w:tentative="1">
      <w:start w:val="1"/>
      <w:numFmt w:val="bullet"/>
      <w:lvlText w:val=""/>
      <w:lvlJc w:val="left"/>
      <w:pPr>
        <w:ind w:left="3807" w:hanging="360"/>
      </w:pPr>
      <w:rPr>
        <w:rFonts w:ascii="Symbol" w:hAnsi="Symbol" w:hint="default"/>
      </w:rPr>
    </w:lvl>
    <w:lvl w:ilvl="4" w:tplc="1C090003" w:tentative="1">
      <w:start w:val="1"/>
      <w:numFmt w:val="bullet"/>
      <w:lvlText w:val="o"/>
      <w:lvlJc w:val="left"/>
      <w:pPr>
        <w:ind w:left="4527" w:hanging="360"/>
      </w:pPr>
      <w:rPr>
        <w:rFonts w:ascii="Courier New" w:hAnsi="Courier New" w:cs="Courier New" w:hint="default"/>
      </w:rPr>
    </w:lvl>
    <w:lvl w:ilvl="5" w:tplc="1C090005" w:tentative="1">
      <w:start w:val="1"/>
      <w:numFmt w:val="bullet"/>
      <w:lvlText w:val=""/>
      <w:lvlJc w:val="left"/>
      <w:pPr>
        <w:ind w:left="5247" w:hanging="360"/>
      </w:pPr>
      <w:rPr>
        <w:rFonts w:ascii="Wingdings" w:hAnsi="Wingdings" w:hint="default"/>
      </w:rPr>
    </w:lvl>
    <w:lvl w:ilvl="6" w:tplc="1C090001" w:tentative="1">
      <w:start w:val="1"/>
      <w:numFmt w:val="bullet"/>
      <w:lvlText w:val=""/>
      <w:lvlJc w:val="left"/>
      <w:pPr>
        <w:ind w:left="5967" w:hanging="360"/>
      </w:pPr>
      <w:rPr>
        <w:rFonts w:ascii="Symbol" w:hAnsi="Symbol" w:hint="default"/>
      </w:rPr>
    </w:lvl>
    <w:lvl w:ilvl="7" w:tplc="1C090003" w:tentative="1">
      <w:start w:val="1"/>
      <w:numFmt w:val="bullet"/>
      <w:lvlText w:val="o"/>
      <w:lvlJc w:val="left"/>
      <w:pPr>
        <w:ind w:left="6687" w:hanging="360"/>
      </w:pPr>
      <w:rPr>
        <w:rFonts w:ascii="Courier New" w:hAnsi="Courier New" w:cs="Courier New" w:hint="default"/>
      </w:rPr>
    </w:lvl>
    <w:lvl w:ilvl="8" w:tplc="1C090005" w:tentative="1">
      <w:start w:val="1"/>
      <w:numFmt w:val="bullet"/>
      <w:lvlText w:val=""/>
      <w:lvlJc w:val="left"/>
      <w:pPr>
        <w:ind w:left="7407" w:hanging="360"/>
      </w:pPr>
      <w:rPr>
        <w:rFonts w:ascii="Wingdings" w:hAnsi="Wingdings" w:hint="default"/>
      </w:rPr>
    </w:lvl>
  </w:abstractNum>
  <w:abstractNum w:abstractNumId="3" w15:restartNumberingAfterBreak="0">
    <w:nsid w:val="172C2884"/>
    <w:multiLevelType w:val="hybridMultilevel"/>
    <w:tmpl w:val="FA60D6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795035"/>
    <w:multiLevelType w:val="hybridMultilevel"/>
    <w:tmpl w:val="F38E22C6"/>
    <w:lvl w:ilvl="0" w:tplc="DD140C02">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AF27EA7"/>
    <w:multiLevelType w:val="hybridMultilevel"/>
    <w:tmpl w:val="378EAE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890153"/>
    <w:multiLevelType w:val="hybridMultilevel"/>
    <w:tmpl w:val="029C9E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1815DD2"/>
    <w:multiLevelType w:val="hybridMultilevel"/>
    <w:tmpl w:val="F40E48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68D0BDC"/>
    <w:multiLevelType w:val="hybridMultilevel"/>
    <w:tmpl w:val="5E42714A"/>
    <w:lvl w:ilvl="0" w:tplc="04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3737010C"/>
    <w:multiLevelType w:val="hybridMultilevel"/>
    <w:tmpl w:val="7AA8FA70"/>
    <w:lvl w:ilvl="0" w:tplc="920ED17A">
      <w:numFmt w:val="bullet"/>
      <w:lvlText w:val="•"/>
      <w:lvlJc w:val="left"/>
      <w:pPr>
        <w:ind w:left="720" w:hanging="360"/>
      </w:pPr>
      <w:rPr>
        <w:rFonts w:ascii="Arial Narrow" w:eastAsiaTheme="minorEastAsia"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A42CA5"/>
    <w:multiLevelType w:val="multilevel"/>
    <w:tmpl w:val="6BA2A6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30F4EFD"/>
    <w:multiLevelType w:val="hybridMultilevel"/>
    <w:tmpl w:val="1896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8CD331A"/>
    <w:multiLevelType w:val="hybridMultilevel"/>
    <w:tmpl w:val="5B1CDC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A5148D7"/>
    <w:multiLevelType w:val="hybridMultilevel"/>
    <w:tmpl w:val="578C32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6E0076D"/>
    <w:multiLevelType w:val="hybridMultilevel"/>
    <w:tmpl w:val="00FC3B4A"/>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DD312EB"/>
    <w:multiLevelType w:val="hybridMultilevel"/>
    <w:tmpl w:val="0A0E2C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0F95E75"/>
    <w:multiLevelType w:val="hybridMultilevel"/>
    <w:tmpl w:val="085C18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2A750ED"/>
    <w:multiLevelType w:val="hybridMultilevel"/>
    <w:tmpl w:val="ABA0997E"/>
    <w:lvl w:ilvl="0" w:tplc="04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60C70B5"/>
    <w:multiLevelType w:val="hybridMultilevel"/>
    <w:tmpl w:val="2384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137E9"/>
    <w:multiLevelType w:val="multilevel"/>
    <w:tmpl w:val="B32AD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9BF6C0F"/>
    <w:multiLevelType w:val="hybridMultilevel"/>
    <w:tmpl w:val="757C77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15:restartNumberingAfterBreak="0">
    <w:nsid w:val="7C1D4406"/>
    <w:multiLevelType w:val="multilevel"/>
    <w:tmpl w:val="84CCF2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E5A04FC"/>
    <w:multiLevelType w:val="hybridMultilevel"/>
    <w:tmpl w:val="759E8F8C"/>
    <w:lvl w:ilvl="0" w:tplc="1C090001">
      <w:start w:val="1"/>
      <w:numFmt w:val="bullet"/>
      <w:lvlText w:val=""/>
      <w:lvlJc w:val="left"/>
      <w:pPr>
        <w:tabs>
          <w:tab w:val="num" w:pos="0"/>
        </w:tabs>
        <w:ind w:left="0" w:hanging="360"/>
      </w:pPr>
      <w:rPr>
        <w:rFonts w:ascii="Symbol" w:hAnsi="Symbol" w:hint="default"/>
      </w:rPr>
    </w:lvl>
    <w:lvl w:ilvl="1" w:tplc="BAB6730A" w:tentative="1">
      <w:start w:val="1"/>
      <w:numFmt w:val="decimal"/>
      <w:lvlText w:val="%2."/>
      <w:lvlJc w:val="left"/>
      <w:pPr>
        <w:tabs>
          <w:tab w:val="num" w:pos="720"/>
        </w:tabs>
        <w:ind w:left="720" w:hanging="360"/>
      </w:pPr>
    </w:lvl>
    <w:lvl w:ilvl="2" w:tplc="BB4CD1A4" w:tentative="1">
      <w:start w:val="1"/>
      <w:numFmt w:val="decimal"/>
      <w:lvlText w:val="%3."/>
      <w:lvlJc w:val="left"/>
      <w:pPr>
        <w:tabs>
          <w:tab w:val="num" w:pos="1440"/>
        </w:tabs>
        <w:ind w:left="1440" w:hanging="360"/>
      </w:pPr>
    </w:lvl>
    <w:lvl w:ilvl="3" w:tplc="2FA4EDF8" w:tentative="1">
      <w:start w:val="1"/>
      <w:numFmt w:val="decimal"/>
      <w:lvlText w:val="%4."/>
      <w:lvlJc w:val="left"/>
      <w:pPr>
        <w:tabs>
          <w:tab w:val="num" w:pos="2160"/>
        </w:tabs>
        <w:ind w:left="2160" w:hanging="360"/>
      </w:pPr>
    </w:lvl>
    <w:lvl w:ilvl="4" w:tplc="007A8D26" w:tentative="1">
      <w:start w:val="1"/>
      <w:numFmt w:val="decimal"/>
      <w:lvlText w:val="%5."/>
      <w:lvlJc w:val="left"/>
      <w:pPr>
        <w:tabs>
          <w:tab w:val="num" w:pos="2880"/>
        </w:tabs>
        <w:ind w:left="2880" w:hanging="360"/>
      </w:pPr>
    </w:lvl>
    <w:lvl w:ilvl="5" w:tplc="5FF0E580" w:tentative="1">
      <w:start w:val="1"/>
      <w:numFmt w:val="decimal"/>
      <w:lvlText w:val="%6."/>
      <w:lvlJc w:val="left"/>
      <w:pPr>
        <w:tabs>
          <w:tab w:val="num" w:pos="3600"/>
        </w:tabs>
        <w:ind w:left="3600" w:hanging="360"/>
      </w:pPr>
    </w:lvl>
    <w:lvl w:ilvl="6" w:tplc="1D244F1E" w:tentative="1">
      <w:start w:val="1"/>
      <w:numFmt w:val="decimal"/>
      <w:lvlText w:val="%7."/>
      <w:lvlJc w:val="left"/>
      <w:pPr>
        <w:tabs>
          <w:tab w:val="num" w:pos="4320"/>
        </w:tabs>
        <w:ind w:left="4320" w:hanging="360"/>
      </w:pPr>
    </w:lvl>
    <w:lvl w:ilvl="7" w:tplc="9FF02C74" w:tentative="1">
      <w:start w:val="1"/>
      <w:numFmt w:val="decimal"/>
      <w:lvlText w:val="%8."/>
      <w:lvlJc w:val="left"/>
      <w:pPr>
        <w:tabs>
          <w:tab w:val="num" w:pos="5040"/>
        </w:tabs>
        <w:ind w:left="5040" w:hanging="360"/>
      </w:pPr>
    </w:lvl>
    <w:lvl w:ilvl="8" w:tplc="A806997E" w:tentative="1">
      <w:start w:val="1"/>
      <w:numFmt w:val="decimal"/>
      <w:lvlText w:val="%9."/>
      <w:lvlJc w:val="left"/>
      <w:pPr>
        <w:tabs>
          <w:tab w:val="num" w:pos="5760"/>
        </w:tabs>
        <w:ind w:left="5760" w:hanging="360"/>
      </w:pPr>
    </w:lvl>
  </w:abstractNum>
  <w:abstractNum w:abstractNumId="27" w15:restartNumberingAfterBreak="0">
    <w:nsid w:val="7F2E5B17"/>
    <w:multiLevelType w:val="hybridMultilevel"/>
    <w:tmpl w:val="8932AF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007026841">
    <w:abstractNumId w:val="23"/>
  </w:num>
  <w:num w:numId="2" w16cid:durableId="1336877761">
    <w:abstractNumId w:val="8"/>
  </w:num>
  <w:num w:numId="3" w16cid:durableId="1392385104">
    <w:abstractNumId w:val="25"/>
  </w:num>
  <w:num w:numId="4" w16cid:durableId="132525072">
    <w:abstractNumId w:val="19"/>
  </w:num>
  <w:num w:numId="5" w16cid:durableId="799147316">
    <w:abstractNumId w:val="4"/>
  </w:num>
  <w:num w:numId="6" w16cid:durableId="1628394729">
    <w:abstractNumId w:val="26"/>
  </w:num>
  <w:num w:numId="7" w16cid:durableId="1682392775">
    <w:abstractNumId w:val="14"/>
  </w:num>
  <w:num w:numId="8" w16cid:durableId="1564676719">
    <w:abstractNumId w:val="5"/>
  </w:num>
  <w:num w:numId="9" w16cid:durableId="1746343783">
    <w:abstractNumId w:val="7"/>
  </w:num>
  <w:num w:numId="10" w16cid:durableId="1296981419">
    <w:abstractNumId w:val="22"/>
  </w:num>
  <w:num w:numId="11" w16cid:durableId="1236088623">
    <w:abstractNumId w:val="13"/>
  </w:num>
  <w:num w:numId="12" w16cid:durableId="399778">
    <w:abstractNumId w:val="1"/>
  </w:num>
  <w:num w:numId="13" w16cid:durableId="1460957982">
    <w:abstractNumId w:val="17"/>
  </w:num>
  <w:num w:numId="14" w16cid:durableId="2135243731">
    <w:abstractNumId w:val="3"/>
  </w:num>
  <w:num w:numId="15" w16cid:durableId="874344073">
    <w:abstractNumId w:val="18"/>
  </w:num>
  <w:num w:numId="16" w16cid:durableId="252979717">
    <w:abstractNumId w:val="20"/>
  </w:num>
  <w:num w:numId="17" w16cid:durableId="895702041">
    <w:abstractNumId w:val="0"/>
  </w:num>
  <w:num w:numId="18" w16cid:durableId="1090389893">
    <w:abstractNumId w:val="9"/>
  </w:num>
  <w:num w:numId="19" w16cid:durableId="1286231088">
    <w:abstractNumId w:val="21"/>
  </w:num>
  <w:num w:numId="20" w16cid:durableId="1868366302">
    <w:abstractNumId w:val="24"/>
  </w:num>
  <w:num w:numId="21" w16cid:durableId="246774199">
    <w:abstractNumId w:val="11"/>
  </w:num>
  <w:num w:numId="22" w16cid:durableId="1564562093">
    <w:abstractNumId w:val="15"/>
  </w:num>
  <w:num w:numId="23" w16cid:durableId="1933541110">
    <w:abstractNumId w:val="16"/>
  </w:num>
  <w:num w:numId="24" w16cid:durableId="91246816">
    <w:abstractNumId w:val="6"/>
  </w:num>
  <w:num w:numId="25" w16cid:durableId="24595985">
    <w:abstractNumId w:val="12"/>
  </w:num>
  <w:num w:numId="26" w16cid:durableId="422380287">
    <w:abstractNumId w:val="10"/>
  </w:num>
  <w:num w:numId="27" w16cid:durableId="378436516">
    <w:abstractNumId w:val="27"/>
  </w:num>
  <w:num w:numId="28" w16cid:durableId="75366546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0A7E"/>
    <w:rsid w:val="00000B69"/>
    <w:rsid w:val="00001468"/>
    <w:rsid w:val="00001DE6"/>
    <w:rsid w:val="00001ED1"/>
    <w:rsid w:val="000033C8"/>
    <w:rsid w:val="00003E7C"/>
    <w:rsid w:val="000045F7"/>
    <w:rsid w:val="00007A9A"/>
    <w:rsid w:val="00007DBF"/>
    <w:rsid w:val="000107D6"/>
    <w:rsid w:val="00012078"/>
    <w:rsid w:val="0001544F"/>
    <w:rsid w:val="00015673"/>
    <w:rsid w:val="00016A2A"/>
    <w:rsid w:val="0001769C"/>
    <w:rsid w:val="00020F2A"/>
    <w:rsid w:val="000240A3"/>
    <w:rsid w:val="00024879"/>
    <w:rsid w:val="00024DEA"/>
    <w:rsid w:val="000253EB"/>
    <w:rsid w:val="00025D63"/>
    <w:rsid w:val="00026F56"/>
    <w:rsid w:val="00030665"/>
    <w:rsid w:val="00031542"/>
    <w:rsid w:val="00031B3B"/>
    <w:rsid w:val="000328B0"/>
    <w:rsid w:val="00032E2B"/>
    <w:rsid w:val="00033E23"/>
    <w:rsid w:val="00034E80"/>
    <w:rsid w:val="00035362"/>
    <w:rsid w:val="00035F44"/>
    <w:rsid w:val="000363DF"/>
    <w:rsid w:val="000364EE"/>
    <w:rsid w:val="000365A5"/>
    <w:rsid w:val="00036D92"/>
    <w:rsid w:val="00037748"/>
    <w:rsid w:val="00042BDE"/>
    <w:rsid w:val="00042CFF"/>
    <w:rsid w:val="0004547D"/>
    <w:rsid w:val="000454D7"/>
    <w:rsid w:val="000469F1"/>
    <w:rsid w:val="00052596"/>
    <w:rsid w:val="00053253"/>
    <w:rsid w:val="00054E5E"/>
    <w:rsid w:val="000550CD"/>
    <w:rsid w:val="00057D37"/>
    <w:rsid w:val="00057E83"/>
    <w:rsid w:val="000607A5"/>
    <w:rsid w:val="000607CC"/>
    <w:rsid w:val="00060B7D"/>
    <w:rsid w:val="00061E69"/>
    <w:rsid w:val="00062A77"/>
    <w:rsid w:val="00063342"/>
    <w:rsid w:val="00063527"/>
    <w:rsid w:val="00064212"/>
    <w:rsid w:val="00064799"/>
    <w:rsid w:val="00066B46"/>
    <w:rsid w:val="00066FB5"/>
    <w:rsid w:val="00067043"/>
    <w:rsid w:val="00070C4A"/>
    <w:rsid w:val="00072454"/>
    <w:rsid w:val="00072FAF"/>
    <w:rsid w:val="000740DF"/>
    <w:rsid w:val="00074515"/>
    <w:rsid w:val="000761DA"/>
    <w:rsid w:val="000845D6"/>
    <w:rsid w:val="00084607"/>
    <w:rsid w:val="00085D9B"/>
    <w:rsid w:val="00086668"/>
    <w:rsid w:val="00086A12"/>
    <w:rsid w:val="000872B5"/>
    <w:rsid w:val="000901F9"/>
    <w:rsid w:val="000917BE"/>
    <w:rsid w:val="000925B7"/>
    <w:rsid w:val="00092979"/>
    <w:rsid w:val="00093062"/>
    <w:rsid w:val="00093730"/>
    <w:rsid w:val="00093B3D"/>
    <w:rsid w:val="00094CD9"/>
    <w:rsid w:val="00094F99"/>
    <w:rsid w:val="00095927"/>
    <w:rsid w:val="00096E41"/>
    <w:rsid w:val="000A00A3"/>
    <w:rsid w:val="000A1C25"/>
    <w:rsid w:val="000A203B"/>
    <w:rsid w:val="000A24D9"/>
    <w:rsid w:val="000A306C"/>
    <w:rsid w:val="000A45A8"/>
    <w:rsid w:val="000A4B32"/>
    <w:rsid w:val="000A5314"/>
    <w:rsid w:val="000A59E5"/>
    <w:rsid w:val="000A5ECD"/>
    <w:rsid w:val="000A70A5"/>
    <w:rsid w:val="000A713B"/>
    <w:rsid w:val="000A76C5"/>
    <w:rsid w:val="000B0854"/>
    <w:rsid w:val="000B0BB5"/>
    <w:rsid w:val="000B1A6C"/>
    <w:rsid w:val="000B523B"/>
    <w:rsid w:val="000B56C1"/>
    <w:rsid w:val="000B5AE9"/>
    <w:rsid w:val="000B6AAF"/>
    <w:rsid w:val="000B7DB6"/>
    <w:rsid w:val="000C1301"/>
    <w:rsid w:val="000C2B9E"/>
    <w:rsid w:val="000C4775"/>
    <w:rsid w:val="000C5B38"/>
    <w:rsid w:val="000C5BB9"/>
    <w:rsid w:val="000C64E9"/>
    <w:rsid w:val="000C7AC4"/>
    <w:rsid w:val="000D0184"/>
    <w:rsid w:val="000D10CA"/>
    <w:rsid w:val="000D187F"/>
    <w:rsid w:val="000D246A"/>
    <w:rsid w:val="000D3C43"/>
    <w:rsid w:val="000E35E9"/>
    <w:rsid w:val="000E3700"/>
    <w:rsid w:val="000E371A"/>
    <w:rsid w:val="000E662D"/>
    <w:rsid w:val="000E695E"/>
    <w:rsid w:val="000E6A76"/>
    <w:rsid w:val="000E7757"/>
    <w:rsid w:val="000E78B6"/>
    <w:rsid w:val="000E7DC8"/>
    <w:rsid w:val="000F1891"/>
    <w:rsid w:val="000F1A3F"/>
    <w:rsid w:val="000F1C78"/>
    <w:rsid w:val="000F2364"/>
    <w:rsid w:val="000F24CB"/>
    <w:rsid w:val="000F475A"/>
    <w:rsid w:val="000F570D"/>
    <w:rsid w:val="000F7DFB"/>
    <w:rsid w:val="00102A1E"/>
    <w:rsid w:val="00102DDC"/>
    <w:rsid w:val="00104FA6"/>
    <w:rsid w:val="00106B55"/>
    <w:rsid w:val="00107AA9"/>
    <w:rsid w:val="00107F12"/>
    <w:rsid w:val="00111A57"/>
    <w:rsid w:val="00111C02"/>
    <w:rsid w:val="00111EDC"/>
    <w:rsid w:val="001122A6"/>
    <w:rsid w:val="00116686"/>
    <w:rsid w:val="0011749B"/>
    <w:rsid w:val="00120051"/>
    <w:rsid w:val="00121C2D"/>
    <w:rsid w:val="00123013"/>
    <w:rsid w:val="00123264"/>
    <w:rsid w:val="00123DC0"/>
    <w:rsid w:val="00124369"/>
    <w:rsid w:val="0012438C"/>
    <w:rsid w:val="00125740"/>
    <w:rsid w:val="00126137"/>
    <w:rsid w:val="001313F8"/>
    <w:rsid w:val="001315B5"/>
    <w:rsid w:val="0013271E"/>
    <w:rsid w:val="00133510"/>
    <w:rsid w:val="00135C96"/>
    <w:rsid w:val="00136229"/>
    <w:rsid w:val="001371F1"/>
    <w:rsid w:val="0014152C"/>
    <w:rsid w:val="00141AB5"/>
    <w:rsid w:val="00141B32"/>
    <w:rsid w:val="001430A7"/>
    <w:rsid w:val="001433D0"/>
    <w:rsid w:val="00144057"/>
    <w:rsid w:val="00144421"/>
    <w:rsid w:val="001445F3"/>
    <w:rsid w:val="001451F7"/>
    <w:rsid w:val="001457D1"/>
    <w:rsid w:val="001466F5"/>
    <w:rsid w:val="00150F93"/>
    <w:rsid w:val="001517FD"/>
    <w:rsid w:val="00151B07"/>
    <w:rsid w:val="00152879"/>
    <w:rsid w:val="00152D57"/>
    <w:rsid w:val="00152F4B"/>
    <w:rsid w:val="001538B0"/>
    <w:rsid w:val="00154475"/>
    <w:rsid w:val="00154819"/>
    <w:rsid w:val="00156F19"/>
    <w:rsid w:val="001571B2"/>
    <w:rsid w:val="00157769"/>
    <w:rsid w:val="00157E66"/>
    <w:rsid w:val="001619AC"/>
    <w:rsid w:val="00162B7E"/>
    <w:rsid w:val="001636AD"/>
    <w:rsid w:val="001642B9"/>
    <w:rsid w:val="00164787"/>
    <w:rsid w:val="00164E9E"/>
    <w:rsid w:val="001653B2"/>
    <w:rsid w:val="001668AD"/>
    <w:rsid w:val="001704B3"/>
    <w:rsid w:val="00170882"/>
    <w:rsid w:val="0017147B"/>
    <w:rsid w:val="00171A5A"/>
    <w:rsid w:val="00173C61"/>
    <w:rsid w:val="00173DDB"/>
    <w:rsid w:val="00175BEF"/>
    <w:rsid w:val="0017613F"/>
    <w:rsid w:val="0017717D"/>
    <w:rsid w:val="001805BA"/>
    <w:rsid w:val="00181172"/>
    <w:rsid w:val="001817DF"/>
    <w:rsid w:val="00182373"/>
    <w:rsid w:val="00182A35"/>
    <w:rsid w:val="00182CB0"/>
    <w:rsid w:val="0018310F"/>
    <w:rsid w:val="0018398A"/>
    <w:rsid w:val="001844D5"/>
    <w:rsid w:val="00185025"/>
    <w:rsid w:val="0018527E"/>
    <w:rsid w:val="00187063"/>
    <w:rsid w:val="001870C9"/>
    <w:rsid w:val="001912DB"/>
    <w:rsid w:val="00197830"/>
    <w:rsid w:val="00197963"/>
    <w:rsid w:val="001979B4"/>
    <w:rsid w:val="001A0DF2"/>
    <w:rsid w:val="001A0E38"/>
    <w:rsid w:val="001A17A1"/>
    <w:rsid w:val="001A37D0"/>
    <w:rsid w:val="001A449E"/>
    <w:rsid w:val="001A44E1"/>
    <w:rsid w:val="001A5A69"/>
    <w:rsid w:val="001A6A21"/>
    <w:rsid w:val="001A7721"/>
    <w:rsid w:val="001A7A20"/>
    <w:rsid w:val="001A7BE4"/>
    <w:rsid w:val="001B0C23"/>
    <w:rsid w:val="001B0EB2"/>
    <w:rsid w:val="001B178D"/>
    <w:rsid w:val="001B1D06"/>
    <w:rsid w:val="001B4BDB"/>
    <w:rsid w:val="001B79BF"/>
    <w:rsid w:val="001C01BD"/>
    <w:rsid w:val="001C1B27"/>
    <w:rsid w:val="001C3033"/>
    <w:rsid w:val="001C39CE"/>
    <w:rsid w:val="001C53B6"/>
    <w:rsid w:val="001C5A45"/>
    <w:rsid w:val="001C7170"/>
    <w:rsid w:val="001C76B3"/>
    <w:rsid w:val="001C7713"/>
    <w:rsid w:val="001C78B5"/>
    <w:rsid w:val="001D19CB"/>
    <w:rsid w:val="001D3C22"/>
    <w:rsid w:val="001D4F78"/>
    <w:rsid w:val="001D5197"/>
    <w:rsid w:val="001D51C3"/>
    <w:rsid w:val="001D5CE8"/>
    <w:rsid w:val="001D5D37"/>
    <w:rsid w:val="001D613C"/>
    <w:rsid w:val="001D680E"/>
    <w:rsid w:val="001D6B15"/>
    <w:rsid w:val="001E2ED4"/>
    <w:rsid w:val="001E3097"/>
    <w:rsid w:val="001E315B"/>
    <w:rsid w:val="001E3983"/>
    <w:rsid w:val="001E3B4B"/>
    <w:rsid w:val="001E7E98"/>
    <w:rsid w:val="001F0FB5"/>
    <w:rsid w:val="001F2732"/>
    <w:rsid w:val="001F31DB"/>
    <w:rsid w:val="001F56A5"/>
    <w:rsid w:val="001F644C"/>
    <w:rsid w:val="001F65BE"/>
    <w:rsid w:val="001F70EA"/>
    <w:rsid w:val="001F7339"/>
    <w:rsid w:val="002006AA"/>
    <w:rsid w:val="002041B2"/>
    <w:rsid w:val="00205857"/>
    <w:rsid w:val="00205F5F"/>
    <w:rsid w:val="00206B30"/>
    <w:rsid w:val="00207BAD"/>
    <w:rsid w:val="00207F6C"/>
    <w:rsid w:val="00210444"/>
    <w:rsid w:val="0021292C"/>
    <w:rsid w:val="0021386D"/>
    <w:rsid w:val="00213A5E"/>
    <w:rsid w:val="002150EE"/>
    <w:rsid w:val="0022009D"/>
    <w:rsid w:val="002205B0"/>
    <w:rsid w:val="00220AE6"/>
    <w:rsid w:val="00221191"/>
    <w:rsid w:val="00223D71"/>
    <w:rsid w:val="00224381"/>
    <w:rsid w:val="00224664"/>
    <w:rsid w:val="00225570"/>
    <w:rsid w:val="002266B8"/>
    <w:rsid w:val="00226975"/>
    <w:rsid w:val="00226F83"/>
    <w:rsid w:val="00226FF4"/>
    <w:rsid w:val="002275CD"/>
    <w:rsid w:val="00227B59"/>
    <w:rsid w:val="00230A39"/>
    <w:rsid w:val="00230B0A"/>
    <w:rsid w:val="00232777"/>
    <w:rsid w:val="00233893"/>
    <w:rsid w:val="00234221"/>
    <w:rsid w:val="0023447C"/>
    <w:rsid w:val="00234E5A"/>
    <w:rsid w:val="00235085"/>
    <w:rsid w:val="002355EB"/>
    <w:rsid w:val="002369AF"/>
    <w:rsid w:val="00240F43"/>
    <w:rsid w:val="0024106D"/>
    <w:rsid w:val="00245C51"/>
    <w:rsid w:val="00247556"/>
    <w:rsid w:val="00250E4A"/>
    <w:rsid w:val="00250F45"/>
    <w:rsid w:val="00251019"/>
    <w:rsid w:val="0025180C"/>
    <w:rsid w:val="0025185B"/>
    <w:rsid w:val="00253A90"/>
    <w:rsid w:val="00253CF1"/>
    <w:rsid w:val="002541E8"/>
    <w:rsid w:val="00254251"/>
    <w:rsid w:val="00254F87"/>
    <w:rsid w:val="00256662"/>
    <w:rsid w:val="00256C51"/>
    <w:rsid w:val="002571D0"/>
    <w:rsid w:val="00257A4F"/>
    <w:rsid w:val="00257C8D"/>
    <w:rsid w:val="00260109"/>
    <w:rsid w:val="002609E0"/>
    <w:rsid w:val="00262149"/>
    <w:rsid w:val="00263692"/>
    <w:rsid w:val="00263920"/>
    <w:rsid w:val="002640D8"/>
    <w:rsid w:val="0026550E"/>
    <w:rsid w:val="002665D7"/>
    <w:rsid w:val="00267611"/>
    <w:rsid w:val="00272130"/>
    <w:rsid w:val="002721E2"/>
    <w:rsid w:val="0027251F"/>
    <w:rsid w:val="00272853"/>
    <w:rsid w:val="00272BB1"/>
    <w:rsid w:val="0027468C"/>
    <w:rsid w:val="00274FFC"/>
    <w:rsid w:val="00275070"/>
    <w:rsid w:val="002750AF"/>
    <w:rsid w:val="0027537B"/>
    <w:rsid w:val="00276391"/>
    <w:rsid w:val="00277909"/>
    <w:rsid w:val="00281778"/>
    <w:rsid w:val="00282217"/>
    <w:rsid w:val="002842E0"/>
    <w:rsid w:val="00284842"/>
    <w:rsid w:val="0028558C"/>
    <w:rsid w:val="0028615C"/>
    <w:rsid w:val="00286165"/>
    <w:rsid w:val="0028745B"/>
    <w:rsid w:val="002876F6"/>
    <w:rsid w:val="002909F3"/>
    <w:rsid w:val="00290B79"/>
    <w:rsid w:val="00290FB4"/>
    <w:rsid w:val="00290FBE"/>
    <w:rsid w:val="00291338"/>
    <w:rsid w:val="002936E9"/>
    <w:rsid w:val="00294B8F"/>
    <w:rsid w:val="00295C35"/>
    <w:rsid w:val="002963A9"/>
    <w:rsid w:val="002A1C97"/>
    <w:rsid w:val="002A2441"/>
    <w:rsid w:val="002A258C"/>
    <w:rsid w:val="002A3097"/>
    <w:rsid w:val="002A403D"/>
    <w:rsid w:val="002A4BED"/>
    <w:rsid w:val="002A7022"/>
    <w:rsid w:val="002B081F"/>
    <w:rsid w:val="002B13A6"/>
    <w:rsid w:val="002B224F"/>
    <w:rsid w:val="002B486B"/>
    <w:rsid w:val="002B4F54"/>
    <w:rsid w:val="002B5947"/>
    <w:rsid w:val="002B6AF0"/>
    <w:rsid w:val="002B6B62"/>
    <w:rsid w:val="002C0932"/>
    <w:rsid w:val="002C0EDB"/>
    <w:rsid w:val="002C1654"/>
    <w:rsid w:val="002C2126"/>
    <w:rsid w:val="002C217D"/>
    <w:rsid w:val="002C26B3"/>
    <w:rsid w:val="002C53D3"/>
    <w:rsid w:val="002C5908"/>
    <w:rsid w:val="002C6F96"/>
    <w:rsid w:val="002D002E"/>
    <w:rsid w:val="002D1713"/>
    <w:rsid w:val="002D17BD"/>
    <w:rsid w:val="002D19CE"/>
    <w:rsid w:val="002D1FA9"/>
    <w:rsid w:val="002D2EF6"/>
    <w:rsid w:val="002D4DD8"/>
    <w:rsid w:val="002D57E0"/>
    <w:rsid w:val="002D6018"/>
    <w:rsid w:val="002D6381"/>
    <w:rsid w:val="002D6668"/>
    <w:rsid w:val="002D7855"/>
    <w:rsid w:val="002D795C"/>
    <w:rsid w:val="002E05EC"/>
    <w:rsid w:val="002E1615"/>
    <w:rsid w:val="002E556D"/>
    <w:rsid w:val="002E5665"/>
    <w:rsid w:val="002E5A87"/>
    <w:rsid w:val="002E5C16"/>
    <w:rsid w:val="002E6038"/>
    <w:rsid w:val="002E778E"/>
    <w:rsid w:val="002E7BC3"/>
    <w:rsid w:val="002E7FD5"/>
    <w:rsid w:val="002F004B"/>
    <w:rsid w:val="002F0568"/>
    <w:rsid w:val="002F3303"/>
    <w:rsid w:val="002F4577"/>
    <w:rsid w:val="002F482A"/>
    <w:rsid w:val="002F56B3"/>
    <w:rsid w:val="002F6F9B"/>
    <w:rsid w:val="002F765C"/>
    <w:rsid w:val="0030006A"/>
    <w:rsid w:val="00301219"/>
    <w:rsid w:val="003026FC"/>
    <w:rsid w:val="00303F55"/>
    <w:rsid w:val="00306FC4"/>
    <w:rsid w:val="0031049E"/>
    <w:rsid w:val="00310727"/>
    <w:rsid w:val="0031087E"/>
    <w:rsid w:val="00310DE6"/>
    <w:rsid w:val="0031352C"/>
    <w:rsid w:val="003136EB"/>
    <w:rsid w:val="0031418D"/>
    <w:rsid w:val="003163AA"/>
    <w:rsid w:val="00316A4E"/>
    <w:rsid w:val="00317575"/>
    <w:rsid w:val="003203D1"/>
    <w:rsid w:val="003206B8"/>
    <w:rsid w:val="0032277C"/>
    <w:rsid w:val="00323008"/>
    <w:rsid w:val="00323CD7"/>
    <w:rsid w:val="00324709"/>
    <w:rsid w:val="003250E6"/>
    <w:rsid w:val="00326390"/>
    <w:rsid w:val="0032732F"/>
    <w:rsid w:val="003313FC"/>
    <w:rsid w:val="00331653"/>
    <w:rsid w:val="00332A45"/>
    <w:rsid w:val="003338B9"/>
    <w:rsid w:val="003370FF"/>
    <w:rsid w:val="003377BD"/>
    <w:rsid w:val="0034084B"/>
    <w:rsid w:val="00341203"/>
    <w:rsid w:val="00341F95"/>
    <w:rsid w:val="00343224"/>
    <w:rsid w:val="00345324"/>
    <w:rsid w:val="003455DE"/>
    <w:rsid w:val="00345766"/>
    <w:rsid w:val="00345DEA"/>
    <w:rsid w:val="003464CA"/>
    <w:rsid w:val="0035181D"/>
    <w:rsid w:val="00351DA4"/>
    <w:rsid w:val="00352338"/>
    <w:rsid w:val="00353003"/>
    <w:rsid w:val="00354876"/>
    <w:rsid w:val="00354B25"/>
    <w:rsid w:val="00354FDC"/>
    <w:rsid w:val="003550A5"/>
    <w:rsid w:val="00355766"/>
    <w:rsid w:val="0035658F"/>
    <w:rsid w:val="00356FAF"/>
    <w:rsid w:val="0035752F"/>
    <w:rsid w:val="003575D1"/>
    <w:rsid w:val="00357617"/>
    <w:rsid w:val="003611AE"/>
    <w:rsid w:val="00364180"/>
    <w:rsid w:val="00364839"/>
    <w:rsid w:val="0036498B"/>
    <w:rsid w:val="003662DC"/>
    <w:rsid w:val="0037079C"/>
    <w:rsid w:val="003713B1"/>
    <w:rsid w:val="00371545"/>
    <w:rsid w:val="00374995"/>
    <w:rsid w:val="003749C3"/>
    <w:rsid w:val="00375426"/>
    <w:rsid w:val="00375E51"/>
    <w:rsid w:val="00376F29"/>
    <w:rsid w:val="00380771"/>
    <w:rsid w:val="00380F91"/>
    <w:rsid w:val="00381884"/>
    <w:rsid w:val="003824A6"/>
    <w:rsid w:val="0038257D"/>
    <w:rsid w:val="0038449C"/>
    <w:rsid w:val="0038481F"/>
    <w:rsid w:val="00385B86"/>
    <w:rsid w:val="00387898"/>
    <w:rsid w:val="00387C9C"/>
    <w:rsid w:val="00387F73"/>
    <w:rsid w:val="00390CF0"/>
    <w:rsid w:val="003913A5"/>
    <w:rsid w:val="003922E4"/>
    <w:rsid w:val="003923F3"/>
    <w:rsid w:val="00392F7A"/>
    <w:rsid w:val="00394B33"/>
    <w:rsid w:val="00395818"/>
    <w:rsid w:val="00396AF9"/>
    <w:rsid w:val="00396E0C"/>
    <w:rsid w:val="003974C2"/>
    <w:rsid w:val="00397BDE"/>
    <w:rsid w:val="00397EE4"/>
    <w:rsid w:val="003A01E5"/>
    <w:rsid w:val="003A132C"/>
    <w:rsid w:val="003A1660"/>
    <w:rsid w:val="003A19E7"/>
    <w:rsid w:val="003A2549"/>
    <w:rsid w:val="003A2975"/>
    <w:rsid w:val="003A29B1"/>
    <w:rsid w:val="003A2B98"/>
    <w:rsid w:val="003A529D"/>
    <w:rsid w:val="003A6562"/>
    <w:rsid w:val="003A7F39"/>
    <w:rsid w:val="003B0EA2"/>
    <w:rsid w:val="003B0FED"/>
    <w:rsid w:val="003B4178"/>
    <w:rsid w:val="003B737A"/>
    <w:rsid w:val="003B7E2B"/>
    <w:rsid w:val="003B7FF3"/>
    <w:rsid w:val="003C088A"/>
    <w:rsid w:val="003C0D7D"/>
    <w:rsid w:val="003C2D0E"/>
    <w:rsid w:val="003C35E9"/>
    <w:rsid w:val="003C42A4"/>
    <w:rsid w:val="003C5AF1"/>
    <w:rsid w:val="003C5C65"/>
    <w:rsid w:val="003C6879"/>
    <w:rsid w:val="003D0464"/>
    <w:rsid w:val="003D0E1C"/>
    <w:rsid w:val="003D1B70"/>
    <w:rsid w:val="003D3573"/>
    <w:rsid w:val="003D49A9"/>
    <w:rsid w:val="003D5262"/>
    <w:rsid w:val="003D7284"/>
    <w:rsid w:val="003E0CA4"/>
    <w:rsid w:val="003E1232"/>
    <w:rsid w:val="003E2060"/>
    <w:rsid w:val="003E370D"/>
    <w:rsid w:val="003E3E31"/>
    <w:rsid w:val="003E503E"/>
    <w:rsid w:val="003E6AD3"/>
    <w:rsid w:val="003F0212"/>
    <w:rsid w:val="003F041D"/>
    <w:rsid w:val="003F0993"/>
    <w:rsid w:val="003F1443"/>
    <w:rsid w:val="003F34A5"/>
    <w:rsid w:val="003F38D1"/>
    <w:rsid w:val="003F3EE3"/>
    <w:rsid w:val="003F430A"/>
    <w:rsid w:val="003F43CE"/>
    <w:rsid w:val="003F4C16"/>
    <w:rsid w:val="003F5478"/>
    <w:rsid w:val="003F5BD9"/>
    <w:rsid w:val="003F6947"/>
    <w:rsid w:val="003F75A7"/>
    <w:rsid w:val="00400374"/>
    <w:rsid w:val="004006A2"/>
    <w:rsid w:val="004008C6"/>
    <w:rsid w:val="00401702"/>
    <w:rsid w:val="00402620"/>
    <w:rsid w:val="00402F33"/>
    <w:rsid w:val="00403483"/>
    <w:rsid w:val="00404DB0"/>
    <w:rsid w:val="0040515E"/>
    <w:rsid w:val="00407076"/>
    <w:rsid w:val="00410698"/>
    <w:rsid w:val="00410B3F"/>
    <w:rsid w:val="00411482"/>
    <w:rsid w:val="00412D87"/>
    <w:rsid w:val="00413092"/>
    <w:rsid w:val="004135D9"/>
    <w:rsid w:val="004153FB"/>
    <w:rsid w:val="00416199"/>
    <w:rsid w:val="004168A2"/>
    <w:rsid w:val="004213DA"/>
    <w:rsid w:val="00421A57"/>
    <w:rsid w:val="00422209"/>
    <w:rsid w:val="0042359A"/>
    <w:rsid w:val="004238DC"/>
    <w:rsid w:val="00423A9F"/>
    <w:rsid w:val="00423F27"/>
    <w:rsid w:val="004240F8"/>
    <w:rsid w:val="0042507A"/>
    <w:rsid w:val="004254A1"/>
    <w:rsid w:val="00425BF7"/>
    <w:rsid w:val="004265BA"/>
    <w:rsid w:val="004268F5"/>
    <w:rsid w:val="004310BD"/>
    <w:rsid w:val="004312CF"/>
    <w:rsid w:val="004335C2"/>
    <w:rsid w:val="00433643"/>
    <w:rsid w:val="00435F15"/>
    <w:rsid w:val="00437863"/>
    <w:rsid w:val="00442B7A"/>
    <w:rsid w:val="0044403E"/>
    <w:rsid w:val="0044488E"/>
    <w:rsid w:val="00445796"/>
    <w:rsid w:val="00446BCE"/>
    <w:rsid w:val="0044750D"/>
    <w:rsid w:val="00450B73"/>
    <w:rsid w:val="00451555"/>
    <w:rsid w:val="004531D4"/>
    <w:rsid w:val="00454862"/>
    <w:rsid w:val="00454AFF"/>
    <w:rsid w:val="00454C19"/>
    <w:rsid w:val="00455ECA"/>
    <w:rsid w:val="004568C8"/>
    <w:rsid w:val="004573D4"/>
    <w:rsid w:val="00457A0A"/>
    <w:rsid w:val="00460AC5"/>
    <w:rsid w:val="0046181F"/>
    <w:rsid w:val="00462149"/>
    <w:rsid w:val="004625E4"/>
    <w:rsid w:val="00462D11"/>
    <w:rsid w:val="004641FB"/>
    <w:rsid w:val="004649A5"/>
    <w:rsid w:val="00465D15"/>
    <w:rsid w:val="00466045"/>
    <w:rsid w:val="004660A3"/>
    <w:rsid w:val="00473206"/>
    <w:rsid w:val="00473331"/>
    <w:rsid w:val="00475C9F"/>
    <w:rsid w:val="004763A4"/>
    <w:rsid w:val="004771C3"/>
    <w:rsid w:val="004774D8"/>
    <w:rsid w:val="00480141"/>
    <w:rsid w:val="00480812"/>
    <w:rsid w:val="00480985"/>
    <w:rsid w:val="00481E38"/>
    <w:rsid w:val="00482F29"/>
    <w:rsid w:val="004830BF"/>
    <w:rsid w:val="00483888"/>
    <w:rsid w:val="00483B3D"/>
    <w:rsid w:val="00483BA4"/>
    <w:rsid w:val="00483D3E"/>
    <w:rsid w:val="0048414F"/>
    <w:rsid w:val="00484D1A"/>
    <w:rsid w:val="004877BF"/>
    <w:rsid w:val="004904F7"/>
    <w:rsid w:val="004919C5"/>
    <w:rsid w:val="0049235F"/>
    <w:rsid w:val="00492A59"/>
    <w:rsid w:val="00492B96"/>
    <w:rsid w:val="004936B9"/>
    <w:rsid w:val="00494376"/>
    <w:rsid w:val="004944C3"/>
    <w:rsid w:val="004949D6"/>
    <w:rsid w:val="004950F7"/>
    <w:rsid w:val="00497B58"/>
    <w:rsid w:val="00497D77"/>
    <w:rsid w:val="004A0F05"/>
    <w:rsid w:val="004A0F65"/>
    <w:rsid w:val="004A128C"/>
    <w:rsid w:val="004A15E6"/>
    <w:rsid w:val="004A2249"/>
    <w:rsid w:val="004A28D1"/>
    <w:rsid w:val="004A33BF"/>
    <w:rsid w:val="004A5408"/>
    <w:rsid w:val="004A5CDE"/>
    <w:rsid w:val="004A66AB"/>
    <w:rsid w:val="004A6E18"/>
    <w:rsid w:val="004A7564"/>
    <w:rsid w:val="004A79B7"/>
    <w:rsid w:val="004B0136"/>
    <w:rsid w:val="004B1001"/>
    <w:rsid w:val="004B12D4"/>
    <w:rsid w:val="004B199C"/>
    <w:rsid w:val="004B2300"/>
    <w:rsid w:val="004B26FB"/>
    <w:rsid w:val="004B28DA"/>
    <w:rsid w:val="004B2F29"/>
    <w:rsid w:val="004B48B2"/>
    <w:rsid w:val="004B49B7"/>
    <w:rsid w:val="004B5B49"/>
    <w:rsid w:val="004B67E7"/>
    <w:rsid w:val="004B6886"/>
    <w:rsid w:val="004B71FC"/>
    <w:rsid w:val="004B7663"/>
    <w:rsid w:val="004C0FBE"/>
    <w:rsid w:val="004C1D4B"/>
    <w:rsid w:val="004C4A40"/>
    <w:rsid w:val="004C575E"/>
    <w:rsid w:val="004C6A38"/>
    <w:rsid w:val="004D05F3"/>
    <w:rsid w:val="004D05FC"/>
    <w:rsid w:val="004D188F"/>
    <w:rsid w:val="004D5B8A"/>
    <w:rsid w:val="004D5C16"/>
    <w:rsid w:val="004D6C92"/>
    <w:rsid w:val="004D75F3"/>
    <w:rsid w:val="004D7B03"/>
    <w:rsid w:val="004D7E10"/>
    <w:rsid w:val="004E0367"/>
    <w:rsid w:val="004E0F73"/>
    <w:rsid w:val="004E17E0"/>
    <w:rsid w:val="004E2195"/>
    <w:rsid w:val="004E2C21"/>
    <w:rsid w:val="004E3FB2"/>
    <w:rsid w:val="004E582D"/>
    <w:rsid w:val="004E6CA4"/>
    <w:rsid w:val="004E75A7"/>
    <w:rsid w:val="004E7E3F"/>
    <w:rsid w:val="004F063F"/>
    <w:rsid w:val="004F0848"/>
    <w:rsid w:val="004F096A"/>
    <w:rsid w:val="004F12B8"/>
    <w:rsid w:val="004F3780"/>
    <w:rsid w:val="004F4673"/>
    <w:rsid w:val="004F4F47"/>
    <w:rsid w:val="004F60F1"/>
    <w:rsid w:val="004F7115"/>
    <w:rsid w:val="004F7EB0"/>
    <w:rsid w:val="005012E4"/>
    <w:rsid w:val="0050224D"/>
    <w:rsid w:val="00502583"/>
    <w:rsid w:val="0050291F"/>
    <w:rsid w:val="005045DA"/>
    <w:rsid w:val="00506F59"/>
    <w:rsid w:val="00510CD9"/>
    <w:rsid w:val="005116D2"/>
    <w:rsid w:val="00512EE0"/>
    <w:rsid w:val="00512FD0"/>
    <w:rsid w:val="00513737"/>
    <w:rsid w:val="005137C3"/>
    <w:rsid w:val="00514F3F"/>
    <w:rsid w:val="00514F62"/>
    <w:rsid w:val="00515515"/>
    <w:rsid w:val="00517B89"/>
    <w:rsid w:val="00517C2B"/>
    <w:rsid w:val="00521409"/>
    <w:rsid w:val="005232BC"/>
    <w:rsid w:val="00523FB4"/>
    <w:rsid w:val="00524548"/>
    <w:rsid w:val="00524797"/>
    <w:rsid w:val="00525558"/>
    <w:rsid w:val="005257EC"/>
    <w:rsid w:val="0052650A"/>
    <w:rsid w:val="00527105"/>
    <w:rsid w:val="005275EC"/>
    <w:rsid w:val="00527ABA"/>
    <w:rsid w:val="00527DA8"/>
    <w:rsid w:val="00527E7F"/>
    <w:rsid w:val="00530095"/>
    <w:rsid w:val="00530199"/>
    <w:rsid w:val="00530544"/>
    <w:rsid w:val="00532016"/>
    <w:rsid w:val="005322A7"/>
    <w:rsid w:val="00532B2B"/>
    <w:rsid w:val="00533F18"/>
    <w:rsid w:val="0053433C"/>
    <w:rsid w:val="00535072"/>
    <w:rsid w:val="00535164"/>
    <w:rsid w:val="0053603B"/>
    <w:rsid w:val="00536C9F"/>
    <w:rsid w:val="0054031E"/>
    <w:rsid w:val="00540DEF"/>
    <w:rsid w:val="00541587"/>
    <w:rsid w:val="005426CD"/>
    <w:rsid w:val="00542A77"/>
    <w:rsid w:val="005430E5"/>
    <w:rsid w:val="005442BF"/>
    <w:rsid w:val="0054586D"/>
    <w:rsid w:val="00546584"/>
    <w:rsid w:val="00546607"/>
    <w:rsid w:val="00547B67"/>
    <w:rsid w:val="00552AA1"/>
    <w:rsid w:val="005549ED"/>
    <w:rsid w:val="00555A35"/>
    <w:rsid w:val="00556368"/>
    <w:rsid w:val="00557341"/>
    <w:rsid w:val="005576F8"/>
    <w:rsid w:val="00560976"/>
    <w:rsid w:val="00560FEB"/>
    <w:rsid w:val="00562D33"/>
    <w:rsid w:val="00562F87"/>
    <w:rsid w:val="00563D00"/>
    <w:rsid w:val="00563DB2"/>
    <w:rsid w:val="00563F1B"/>
    <w:rsid w:val="0056536D"/>
    <w:rsid w:val="005666FC"/>
    <w:rsid w:val="00566C44"/>
    <w:rsid w:val="00567BBC"/>
    <w:rsid w:val="00567F7F"/>
    <w:rsid w:val="005715C0"/>
    <w:rsid w:val="00571AFF"/>
    <w:rsid w:val="00573D31"/>
    <w:rsid w:val="00574620"/>
    <w:rsid w:val="00574E49"/>
    <w:rsid w:val="00575988"/>
    <w:rsid w:val="005760D8"/>
    <w:rsid w:val="005773E5"/>
    <w:rsid w:val="005779B8"/>
    <w:rsid w:val="00580576"/>
    <w:rsid w:val="0058194F"/>
    <w:rsid w:val="0058371B"/>
    <w:rsid w:val="00583874"/>
    <w:rsid w:val="00585129"/>
    <w:rsid w:val="00586F74"/>
    <w:rsid w:val="00590649"/>
    <w:rsid w:val="00590719"/>
    <w:rsid w:val="00591719"/>
    <w:rsid w:val="00591937"/>
    <w:rsid w:val="00591A3A"/>
    <w:rsid w:val="00591E5C"/>
    <w:rsid w:val="00592C41"/>
    <w:rsid w:val="005937BF"/>
    <w:rsid w:val="00594CF3"/>
    <w:rsid w:val="00594F9F"/>
    <w:rsid w:val="00595EB1"/>
    <w:rsid w:val="005A02F1"/>
    <w:rsid w:val="005A07A9"/>
    <w:rsid w:val="005A144D"/>
    <w:rsid w:val="005A20B8"/>
    <w:rsid w:val="005A2C3F"/>
    <w:rsid w:val="005A300A"/>
    <w:rsid w:val="005A3CB7"/>
    <w:rsid w:val="005A3F6F"/>
    <w:rsid w:val="005A40C8"/>
    <w:rsid w:val="005A52AE"/>
    <w:rsid w:val="005A6E3D"/>
    <w:rsid w:val="005A6FD4"/>
    <w:rsid w:val="005A761C"/>
    <w:rsid w:val="005B11FF"/>
    <w:rsid w:val="005B1EB2"/>
    <w:rsid w:val="005B1EE0"/>
    <w:rsid w:val="005B3C88"/>
    <w:rsid w:val="005B3EC4"/>
    <w:rsid w:val="005B5B7C"/>
    <w:rsid w:val="005B6C42"/>
    <w:rsid w:val="005B7125"/>
    <w:rsid w:val="005B7371"/>
    <w:rsid w:val="005C2409"/>
    <w:rsid w:val="005C35D4"/>
    <w:rsid w:val="005C3C9C"/>
    <w:rsid w:val="005C42BF"/>
    <w:rsid w:val="005C530E"/>
    <w:rsid w:val="005C63D7"/>
    <w:rsid w:val="005C7D1C"/>
    <w:rsid w:val="005D16D7"/>
    <w:rsid w:val="005D19F1"/>
    <w:rsid w:val="005D1B7B"/>
    <w:rsid w:val="005D1FCE"/>
    <w:rsid w:val="005D2D95"/>
    <w:rsid w:val="005D344D"/>
    <w:rsid w:val="005D70EE"/>
    <w:rsid w:val="005D7C9F"/>
    <w:rsid w:val="005D7CF8"/>
    <w:rsid w:val="005E0CDA"/>
    <w:rsid w:val="005E1D37"/>
    <w:rsid w:val="005E3A60"/>
    <w:rsid w:val="005E3BF5"/>
    <w:rsid w:val="005E43F1"/>
    <w:rsid w:val="005E44FA"/>
    <w:rsid w:val="005F0257"/>
    <w:rsid w:val="005F0EAC"/>
    <w:rsid w:val="005F11DF"/>
    <w:rsid w:val="005F128E"/>
    <w:rsid w:val="005F4E1A"/>
    <w:rsid w:val="005F57E2"/>
    <w:rsid w:val="005F5B74"/>
    <w:rsid w:val="005F5E9C"/>
    <w:rsid w:val="005F6510"/>
    <w:rsid w:val="005F65BA"/>
    <w:rsid w:val="005F7685"/>
    <w:rsid w:val="005F7BDE"/>
    <w:rsid w:val="005F7D7C"/>
    <w:rsid w:val="00600AFA"/>
    <w:rsid w:val="006027A8"/>
    <w:rsid w:val="00602BFE"/>
    <w:rsid w:val="00603660"/>
    <w:rsid w:val="00604232"/>
    <w:rsid w:val="006042CB"/>
    <w:rsid w:val="0060602E"/>
    <w:rsid w:val="00607BA2"/>
    <w:rsid w:val="00607C7C"/>
    <w:rsid w:val="00611F80"/>
    <w:rsid w:val="006122F4"/>
    <w:rsid w:val="00613BB6"/>
    <w:rsid w:val="00613E81"/>
    <w:rsid w:val="006144E1"/>
    <w:rsid w:val="006149D2"/>
    <w:rsid w:val="00615AF4"/>
    <w:rsid w:val="0061614E"/>
    <w:rsid w:val="0061616E"/>
    <w:rsid w:val="006167B7"/>
    <w:rsid w:val="00616C7C"/>
    <w:rsid w:val="00617DD3"/>
    <w:rsid w:val="00621556"/>
    <w:rsid w:val="00622D11"/>
    <w:rsid w:val="00623460"/>
    <w:rsid w:val="0062358A"/>
    <w:rsid w:val="006238AD"/>
    <w:rsid w:val="0062422E"/>
    <w:rsid w:val="006255AC"/>
    <w:rsid w:val="00625B98"/>
    <w:rsid w:val="00626126"/>
    <w:rsid w:val="006261D9"/>
    <w:rsid w:val="0062628F"/>
    <w:rsid w:val="006275F6"/>
    <w:rsid w:val="00630C5C"/>
    <w:rsid w:val="00630D76"/>
    <w:rsid w:val="006310EC"/>
    <w:rsid w:val="00631385"/>
    <w:rsid w:val="0063199B"/>
    <w:rsid w:val="00631A46"/>
    <w:rsid w:val="00631DAC"/>
    <w:rsid w:val="00632710"/>
    <w:rsid w:val="006345BA"/>
    <w:rsid w:val="00635F7B"/>
    <w:rsid w:val="00636789"/>
    <w:rsid w:val="006422E5"/>
    <w:rsid w:val="006425E6"/>
    <w:rsid w:val="00644BF8"/>
    <w:rsid w:val="00644D65"/>
    <w:rsid w:val="00644F6A"/>
    <w:rsid w:val="00646220"/>
    <w:rsid w:val="00646D8E"/>
    <w:rsid w:val="00647F83"/>
    <w:rsid w:val="00650C0B"/>
    <w:rsid w:val="006518D8"/>
    <w:rsid w:val="00651E29"/>
    <w:rsid w:val="00652572"/>
    <w:rsid w:val="0065271A"/>
    <w:rsid w:val="00653824"/>
    <w:rsid w:val="00654047"/>
    <w:rsid w:val="006547D2"/>
    <w:rsid w:val="00654FDD"/>
    <w:rsid w:val="00655120"/>
    <w:rsid w:val="00657E37"/>
    <w:rsid w:val="00661020"/>
    <w:rsid w:val="00661DC1"/>
    <w:rsid w:val="006620B5"/>
    <w:rsid w:val="00662C14"/>
    <w:rsid w:val="00662F74"/>
    <w:rsid w:val="00663ABA"/>
    <w:rsid w:val="0066459E"/>
    <w:rsid w:val="00665625"/>
    <w:rsid w:val="00666297"/>
    <w:rsid w:val="00667923"/>
    <w:rsid w:val="00670F8F"/>
    <w:rsid w:val="00673872"/>
    <w:rsid w:val="006755D3"/>
    <w:rsid w:val="00676870"/>
    <w:rsid w:val="00676ACA"/>
    <w:rsid w:val="006774F0"/>
    <w:rsid w:val="00680C15"/>
    <w:rsid w:val="006815FF"/>
    <w:rsid w:val="00681E97"/>
    <w:rsid w:val="0068273B"/>
    <w:rsid w:val="006858E5"/>
    <w:rsid w:val="00685E3D"/>
    <w:rsid w:val="0068681F"/>
    <w:rsid w:val="0068715B"/>
    <w:rsid w:val="00687BE6"/>
    <w:rsid w:val="00687E6B"/>
    <w:rsid w:val="0069004E"/>
    <w:rsid w:val="00693301"/>
    <w:rsid w:val="00693D3C"/>
    <w:rsid w:val="00694BAE"/>
    <w:rsid w:val="00694BDD"/>
    <w:rsid w:val="00696E95"/>
    <w:rsid w:val="00697A14"/>
    <w:rsid w:val="00697D13"/>
    <w:rsid w:val="006A0026"/>
    <w:rsid w:val="006A0218"/>
    <w:rsid w:val="006A2512"/>
    <w:rsid w:val="006A5B64"/>
    <w:rsid w:val="006A6A61"/>
    <w:rsid w:val="006A6C9C"/>
    <w:rsid w:val="006A7D6C"/>
    <w:rsid w:val="006A7E0F"/>
    <w:rsid w:val="006B14A6"/>
    <w:rsid w:val="006B33A1"/>
    <w:rsid w:val="006B3AE0"/>
    <w:rsid w:val="006B3FCB"/>
    <w:rsid w:val="006B44DE"/>
    <w:rsid w:val="006B49E2"/>
    <w:rsid w:val="006B504C"/>
    <w:rsid w:val="006B5F1A"/>
    <w:rsid w:val="006B7182"/>
    <w:rsid w:val="006C0807"/>
    <w:rsid w:val="006C0DAE"/>
    <w:rsid w:val="006C124A"/>
    <w:rsid w:val="006C2A01"/>
    <w:rsid w:val="006C35FB"/>
    <w:rsid w:val="006C3E18"/>
    <w:rsid w:val="006C422D"/>
    <w:rsid w:val="006C6CBB"/>
    <w:rsid w:val="006C716E"/>
    <w:rsid w:val="006C728B"/>
    <w:rsid w:val="006C757B"/>
    <w:rsid w:val="006C7637"/>
    <w:rsid w:val="006C7C37"/>
    <w:rsid w:val="006D0D1A"/>
    <w:rsid w:val="006D18A3"/>
    <w:rsid w:val="006D2167"/>
    <w:rsid w:val="006D2C43"/>
    <w:rsid w:val="006D33EB"/>
    <w:rsid w:val="006D3400"/>
    <w:rsid w:val="006D4E53"/>
    <w:rsid w:val="006D5A96"/>
    <w:rsid w:val="006D6EDE"/>
    <w:rsid w:val="006D74BD"/>
    <w:rsid w:val="006D7F29"/>
    <w:rsid w:val="006E0A1D"/>
    <w:rsid w:val="006E0C9A"/>
    <w:rsid w:val="006E12C8"/>
    <w:rsid w:val="006E189B"/>
    <w:rsid w:val="006E1F6C"/>
    <w:rsid w:val="006E32F0"/>
    <w:rsid w:val="006E3B89"/>
    <w:rsid w:val="006E3BC2"/>
    <w:rsid w:val="006E5E56"/>
    <w:rsid w:val="006E65EA"/>
    <w:rsid w:val="006E67C7"/>
    <w:rsid w:val="006F067F"/>
    <w:rsid w:val="006F1B47"/>
    <w:rsid w:val="006F2325"/>
    <w:rsid w:val="006F261B"/>
    <w:rsid w:val="006F2A5E"/>
    <w:rsid w:val="006F2B5F"/>
    <w:rsid w:val="006F349D"/>
    <w:rsid w:val="006F3A0D"/>
    <w:rsid w:val="006F49DF"/>
    <w:rsid w:val="006F4E24"/>
    <w:rsid w:val="006F5174"/>
    <w:rsid w:val="006F64C3"/>
    <w:rsid w:val="006F67CB"/>
    <w:rsid w:val="006F69E9"/>
    <w:rsid w:val="007018AE"/>
    <w:rsid w:val="00702C32"/>
    <w:rsid w:val="00702FE0"/>
    <w:rsid w:val="00703542"/>
    <w:rsid w:val="0070384D"/>
    <w:rsid w:val="0070545D"/>
    <w:rsid w:val="007061FF"/>
    <w:rsid w:val="007102D5"/>
    <w:rsid w:val="00711E45"/>
    <w:rsid w:val="007126A3"/>
    <w:rsid w:val="007127F2"/>
    <w:rsid w:val="00715920"/>
    <w:rsid w:val="00715F8B"/>
    <w:rsid w:val="00721006"/>
    <w:rsid w:val="00721696"/>
    <w:rsid w:val="0072213C"/>
    <w:rsid w:val="00722252"/>
    <w:rsid w:val="00722AF0"/>
    <w:rsid w:val="00723976"/>
    <w:rsid w:val="00723AE8"/>
    <w:rsid w:val="00724DBD"/>
    <w:rsid w:val="00727AD5"/>
    <w:rsid w:val="00730584"/>
    <w:rsid w:val="00730DE9"/>
    <w:rsid w:val="007317B5"/>
    <w:rsid w:val="007323C0"/>
    <w:rsid w:val="0073314C"/>
    <w:rsid w:val="00733E2F"/>
    <w:rsid w:val="00735C7B"/>
    <w:rsid w:val="00736362"/>
    <w:rsid w:val="0073665C"/>
    <w:rsid w:val="00737529"/>
    <w:rsid w:val="00737552"/>
    <w:rsid w:val="00741765"/>
    <w:rsid w:val="00743BFB"/>
    <w:rsid w:val="007530F3"/>
    <w:rsid w:val="00753223"/>
    <w:rsid w:val="00753AC6"/>
    <w:rsid w:val="00755A7B"/>
    <w:rsid w:val="00755B47"/>
    <w:rsid w:val="00755F1D"/>
    <w:rsid w:val="007567EA"/>
    <w:rsid w:val="007570A7"/>
    <w:rsid w:val="0076010D"/>
    <w:rsid w:val="00760ACC"/>
    <w:rsid w:val="00760B00"/>
    <w:rsid w:val="00761993"/>
    <w:rsid w:val="007621B7"/>
    <w:rsid w:val="00763562"/>
    <w:rsid w:val="00763A76"/>
    <w:rsid w:val="00764482"/>
    <w:rsid w:val="007654C2"/>
    <w:rsid w:val="00765E47"/>
    <w:rsid w:val="00766F25"/>
    <w:rsid w:val="00770615"/>
    <w:rsid w:val="007709C8"/>
    <w:rsid w:val="00770F52"/>
    <w:rsid w:val="00771976"/>
    <w:rsid w:val="00771C96"/>
    <w:rsid w:val="00772CEB"/>
    <w:rsid w:val="0077363C"/>
    <w:rsid w:val="00773E14"/>
    <w:rsid w:val="00775940"/>
    <w:rsid w:val="0077699B"/>
    <w:rsid w:val="00777B62"/>
    <w:rsid w:val="00780192"/>
    <w:rsid w:val="00780314"/>
    <w:rsid w:val="0078035F"/>
    <w:rsid w:val="00781007"/>
    <w:rsid w:val="007816E0"/>
    <w:rsid w:val="00782364"/>
    <w:rsid w:val="00782434"/>
    <w:rsid w:val="0078289A"/>
    <w:rsid w:val="0078368E"/>
    <w:rsid w:val="00784558"/>
    <w:rsid w:val="00784C81"/>
    <w:rsid w:val="00784E1E"/>
    <w:rsid w:val="00784FE4"/>
    <w:rsid w:val="007850E7"/>
    <w:rsid w:val="007850EC"/>
    <w:rsid w:val="00785EFA"/>
    <w:rsid w:val="00786112"/>
    <w:rsid w:val="00787304"/>
    <w:rsid w:val="00787F51"/>
    <w:rsid w:val="00790D11"/>
    <w:rsid w:val="00791D39"/>
    <w:rsid w:val="00792113"/>
    <w:rsid w:val="007948FB"/>
    <w:rsid w:val="0079495C"/>
    <w:rsid w:val="0079598D"/>
    <w:rsid w:val="007A051F"/>
    <w:rsid w:val="007A054D"/>
    <w:rsid w:val="007A12C9"/>
    <w:rsid w:val="007A2869"/>
    <w:rsid w:val="007A3747"/>
    <w:rsid w:val="007A3BF3"/>
    <w:rsid w:val="007A5097"/>
    <w:rsid w:val="007A51C9"/>
    <w:rsid w:val="007A60CD"/>
    <w:rsid w:val="007A7110"/>
    <w:rsid w:val="007A78D3"/>
    <w:rsid w:val="007B0019"/>
    <w:rsid w:val="007B018C"/>
    <w:rsid w:val="007B26E4"/>
    <w:rsid w:val="007B2F8C"/>
    <w:rsid w:val="007B3126"/>
    <w:rsid w:val="007B55E7"/>
    <w:rsid w:val="007B6C78"/>
    <w:rsid w:val="007B7157"/>
    <w:rsid w:val="007C08C6"/>
    <w:rsid w:val="007C32AE"/>
    <w:rsid w:val="007C4780"/>
    <w:rsid w:val="007C485B"/>
    <w:rsid w:val="007C4FF9"/>
    <w:rsid w:val="007C501D"/>
    <w:rsid w:val="007C614A"/>
    <w:rsid w:val="007C73D1"/>
    <w:rsid w:val="007C74F4"/>
    <w:rsid w:val="007D28EC"/>
    <w:rsid w:val="007D42DB"/>
    <w:rsid w:val="007D5475"/>
    <w:rsid w:val="007D5BBB"/>
    <w:rsid w:val="007D6526"/>
    <w:rsid w:val="007E0456"/>
    <w:rsid w:val="007E10C1"/>
    <w:rsid w:val="007E2707"/>
    <w:rsid w:val="007E27B2"/>
    <w:rsid w:val="007E4B9A"/>
    <w:rsid w:val="007E5250"/>
    <w:rsid w:val="007E598F"/>
    <w:rsid w:val="007E5ECF"/>
    <w:rsid w:val="007E6581"/>
    <w:rsid w:val="007E677B"/>
    <w:rsid w:val="007F04C7"/>
    <w:rsid w:val="007F1B94"/>
    <w:rsid w:val="007F25FA"/>
    <w:rsid w:val="007F2A57"/>
    <w:rsid w:val="007F3A0D"/>
    <w:rsid w:val="007F5617"/>
    <w:rsid w:val="007F57AD"/>
    <w:rsid w:val="007F6907"/>
    <w:rsid w:val="007F700E"/>
    <w:rsid w:val="007F7A11"/>
    <w:rsid w:val="00800373"/>
    <w:rsid w:val="00800D50"/>
    <w:rsid w:val="008040A9"/>
    <w:rsid w:val="008045C6"/>
    <w:rsid w:val="0080476E"/>
    <w:rsid w:val="00805B46"/>
    <w:rsid w:val="00805B55"/>
    <w:rsid w:val="008078E5"/>
    <w:rsid w:val="008122B5"/>
    <w:rsid w:val="00814888"/>
    <w:rsid w:val="0081553B"/>
    <w:rsid w:val="0081554B"/>
    <w:rsid w:val="008159D8"/>
    <w:rsid w:val="008177B4"/>
    <w:rsid w:val="00817C0F"/>
    <w:rsid w:val="00817CDD"/>
    <w:rsid w:val="0082282A"/>
    <w:rsid w:val="00823A09"/>
    <w:rsid w:val="008242A5"/>
    <w:rsid w:val="00824AA1"/>
    <w:rsid w:val="00824C38"/>
    <w:rsid w:val="00825053"/>
    <w:rsid w:val="0082526B"/>
    <w:rsid w:val="00826255"/>
    <w:rsid w:val="00834ACF"/>
    <w:rsid w:val="008351D2"/>
    <w:rsid w:val="008354BE"/>
    <w:rsid w:val="008359DE"/>
    <w:rsid w:val="00836ED3"/>
    <w:rsid w:val="008372CE"/>
    <w:rsid w:val="00837830"/>
    <w:rsid w:val="00837956"/>
    <w:rsid w:val="00837B0C"/>
    <w:rsid w:val="0084141D"/>
    <w:rsid w:val="00841492"/>
    <w:rsid w:val="0084415C"/>
    <w:rsid w:val="00844802"/>
    <w:rsid w:val="00846172"/>
    <w:rsid w:val="00846216"/>
    <w:rsid w:val="008473B3"/>
    <w:rsid w:val="00847733"/>
    <w:rsid w:val="008479E0"/>
    <w:rsid w:val="00847C88"/>
    <w:rsid w:val="008502C3"/>
    <w:rsid w:val="008510B2"/>
    <w:rsid w:val="008512A9"/>
    <w:rsid w:val="0085145E"/>
    <w:rsid w:val="00851B65"/>
    <w:rsid w:val="008522FD"/>
    <w:rsid w:val="00853884"/>
    <w:rsid w:val="0085422F"/>
    <w:rsid w:val="00855219"/>
    <w:rsid w:val="00855DC1"/>
    <w:rsid w:val="00856D0A"/>
    <w:rsid w:val="00860617"/>
    <w:rsid w:val="0086071D"/>
    <w:rsid w:val="00860F65"/>
    <w:rsid w:val="008611B3"/>
    <w:rsid w:val="008615D7"/>
    <w:rsid w:val="008617E4"/>
    <w:rsid w:val="00861E25"/>
    <w:rsid w:val="00862142"/>
    <w:rsid w:val="00863A0B"/>
    <w:rsid w:val="0086511A"/>
    <w:rsid w:val="008656FD"/>
    <w:rsid w:val="0086600C"/>
    <w:rsid w:val="008663CD"/>
    <w:rsid w:val="00867C29"/>
    <w:rsid w:val="008712F0"/>
    <w:rsid w:val="0087468B"/>
    <w:rsid w:val="00874DD2"/>
    <w:rsid w:val="008764CE"/>
    <w:rsid w:val="00876503"/>
    <w:rsid w:val="00877B21"/>
    <w:rsid w:val="00877C05"/>
    <w:rsid w:val="008801BD"/>
    <w:rsid w:val="00880E01"/>
    <w:rsid w:val="0088124A"/>
    <w:rsid w:val="00881DD8"/>
    <w:rsid w:val="00881F68"/>
    <w:rsid w:val="008830AE"/>
    <w:rsid w:val="00883376"/>
    <w:rsid w:val="008845A7"/>
    <w:rsid w:val="00885A54"/>
    <w:rsid w:val="008879A6"/>
    <w:rsid w:val="0089028F"/>
    <w:rsid w:val="00890370"/>
    <w:rsid w:val="00890D6D"/>
    <w:rsid w:val="00891183"/>
    <w:rsid w:val="008911C7"/>
    <w:rsid w:val="00891CEB"/>
    <w:rsid w:val="00892334"/>
    <w:rsid w:val="0089297F"/>
    <w:rsid w:val="00892E06"/>
    <w:rsid w:val="008975BA"/>
    <w:rsid w:val="008A0381"/>
    <w:rsid w:val="008A1694"/>
    <w:rsid w:val="008A30B9"/>
    <w:rsid w:val="008A4C4F"/>
    <w:rsid w:val="008A5084"/>
    <w:rsid w:val="008A67D1"/>
    <w:rsid w:val="008A766B"/>
    <w:rsid w:val="008A7892"/>
    <w:rsid w:val="008A79A7"/>
    <w:rsid w:val="008B12CD"/>
    <w:rsid w:val="008B22AF"/>
    <w:rsid w:val="008B27FD"/>
    <w:rsid w:val="008B331E"/>
    <w:rsid w:val="008B3566"/>
    <w:rsid w:val="008B3704"/>
    <w:rsid w:val="008B711D"/>
    <w:rsid w:val="008C0A85"/>
    <w:rsid w:val="008C1578"/>
    <w:rsid w:val="008C2C43"/>
    <w:rsid w:val="008C2DF7"/>
    <w:rsid w:val="008C36F7"/>
    <w:rsid w:val="008C3F84"/>
    <w:rsid w:val="008C4DE3"/>
    <w:rsid w:val="008C587C"/>
    <w:rsid w:val="008C66EF"/>
    <w:rsid w:val="008C75FE"/>
    <w:rsid w:val="008C774A"/>
    <w:rsid w:val="008C7818"/>
    <w:rsid w:val="008C7C12"/>
    <w:rsid w:val="008D01F7"/>
    <w:rsid w:val="008D03C4"/>
    <w:rsid w:val="008D0AF6"/>
    <w:rsid w:val="008D202B"/>
    <w:rsid w:val="008D2146"/>
    <w:rsid w:val="008D24FF"/>
    <w:rsid w:val="008D2574"/>
    <w:rsid w:val="008D2A5E"/>
    <w:rsid w:val="008D387F"/>
    <w:rsid w:val="008D4F62"/>
    <w:rsid w:val="008E0B97"/>
    <w:rsid w:val="008E0E68"/>
    <w:rsid w:val="008E2036"/>
    <w:rsid w:val="008E2270"/>
    <w:rsid w:val="008E317D"/>
    <w:rsid w:val="008E4D90"/>
    <w:rsid w:val="008E4FFD"/>
    <w:rsid w:val="008E5AFB"/>
    <w:rsid w:val="008E6576"/>
    <w:rsid w:val="008E7082"/>
    <w:rsid w:val="008F2347"/>
    <w:rsid w:val="008F2BB3"/>
    <w:rsid w:val="008F3C04"/>
    <w:rsid w:val="008F4C19"/>
    <w:rsid w:val="008F6711"/>
    <w:rsid w:val="008F77BF"/>
    <w:rsid w:val="008F7FD5"/>
    <w:rsid w:val="00900869"/>
    <w:rsid w:val="009027B4"/>
    <w:rsid w:val="009028E2"/>
    <w:rsid w:val="0090350B"/>
    <w:rsid w:val="009038E6"/>
    <w:rsid w:val="009041C3"/>
    <w:rsid w:val="00904252"/>
    <w:rsid w:val="00904B6A"/>
    <w:rsid w:val="00906369"/>
    <w:rsid w:val="009100EE"/>
    <w:rsid w:val="00911B2B"/>
    <w:rsid w:val="00913151"/>
    <w:rsid w:val="00913220"/>
    <w:rsid w:val="0091440B"/>
    <w:rsid w:val="00914AD7"/>
    <w:rsid w:val="00915023"/>
    <w:rsid w:val="00915BAA"/>
    <w:rsid w:val="00916015"/>
    <w:rsid w:val="00920644"/>
    <w:rsid w:val="00920DF6"/>
    <w:rsid w:val="009225D0"/>
    <w:rsid w:val="00922D6F"/>
    <w:rsid w:val="00925C09"/>
    <w:rsid w:val="00925E37"/>
    <w:rsid w:val="00930236"/>
    <w:rsid w:val="0093042D"/>
    <w:rsid w:val="009315CB"/>
    <w:rsid w:val="00931BB2"/>
    <w:rsid w:val="00931FEB"/>
    <w:rsid w:val="0093284B"/>
    <w:rsid w:val="00933625"/>
    <w:rsid w:val="00933B6D"/>
    <w:rsid w:val="009341CE"/>
    <w:rsid w:val="009342C8"/>
    <w:rsid w:val="00934C97"/>
    <w:rsid w:val="0093574E"/>
    <w:rsid w:val="00935CC6"/>
    <w:rsid w:val="00937F20"/>
    <w:rsid w:val="00940AB0"/>
    <w:rsid w:val="009412CB"/>
    <w:rsid w:val="0094216B"/>
    <w:rsid w:val="00944C25"/>
    <w:rsid w:val="009453BD"/>
    <w:rsid w:val="009465B3"/>
    <w:rsid w:val="009467AF"/>
    <w:rsid w:val="00947222"/>
    <w:rsid w:val="00947850"/>
    <w:rsid w:val="0095159F"/>
    <w:rsid w:val="00953BB0"/>
    <w:rsid w:val="00954228"/>
    <w:rsid w:val="0095455E"/>
    <w:rsid w:val="009560D7"/>
    <w:rsid w:val="00957223"/>
    <w:rsid w:val="00957963"/>
    <w:rsid w:val="009607ED"/>
    <w:rsid w:val="00960EEE"/>
    <w:rsid w:val="00962729"/>
    <w:rsid w:val="00962810"/>
    <w:rsid w:val="00962FD7"/>
    <w:rsid w:val="0096414A"/>
    <w:rsid w:val="0096679B"/>
    <w:rsid w:val="0096696D"/>
    <w:rsid w:val="00970C2B"/>
    <w:rsid w:val="00970D7B"/>
    <w:rsid w:val="00971D68"/>
    <w:rsid w:val="009728EE"/>
    <w:rsid w:val="00973931"/>
    <w:rsid w:val="00975284"/>
    <w:rsid w:val="00976D3E"/>
    <w:rsid w:val="00976EFA"/>
    <w:rsid w:val="00977347"/>
    <w:rsid w:val="00980B1E"/>
    <w:rsid w:val="00981E84"/>
    <w:rsid w:val="0098247F"/>
    <w:rsid w:val="00982796"/>
    <w:rsid w:val="00984BC0"/>
    <w:rsid w:val="00984D36"/>
    <w:rsid w:val="00986469"/>
    <w:rsid w:val="00986EE3"/>
    <w:rsid w:val="00987C64"/>
    <w:rsid w:val="009911CB"/>
    <w:rsid w:val="0099322F"/>
    <w:rsid w:val="00995905"/>
    <w:rsid w:val="00995C26"/>
    <w:rsid w:val="00997BD5"/>
    <w:rsid w:val="009A25C7"/>
    <w:rsid w:val="009A2E9B"/>
    <w:rsid w:val="009A43ED"/>
    <w:rsid w:val="009A459F"/>
    <w:rsid w:val="009A46D6"/>
    <w:rsid w:val="009A5317"/>
    <w:rsid w:val="009A5E98"/>
    <w:rsid w:val="009A6CB4"/>
    <w:rsid w:val="009A7256"/>
    <w:rsid w:val="009B0C06"/>
    <w:rsid w:val="009B0DC1"/>
    <w:rsid w:val="009B42A0"/>
    <w:rsid w:val="009B43CE"/>
    <w:rsid w:val="009C0989"/>
    <w:rsid w:val="009C0E3F"/>
    <w:rsid w:val="009C12B9"/>
    <w:rsid w:val="009C3C88"/>
    <w:rsid w:val="009C6164"/>
    <w:rsid w:val="009C7A52"/>
    <w:rsid w:val="009D0982"/>
    <w:rsid w:val="009D10F6"/>
    <w:rsid w:val="009D1699"/>
    <w:rsid w:val="009D1822"/>
    <w:rsid w:val="009D1FA2"/>
    <w:rsid w:val="009D206E"/>
    <w:rsid w:val="009D2459"/>
    <w:rsid w:val="009D2645"/>
    <w:rsid w:val="009D2E63"/>
    <w:rsid w:val="009D467E"/>
    <w:rsid w:val="009D541A"/>
    <w:rsid w:val="009D6441"/>
    <w:rsid w:val="009D6A4B"/>
    <w:rsid w:val="009D703C"/>
    <w:rsid w:val="009D727F"/>
    <w:rsid w:val="009D77EF"/>
    <w:rsid w:val="009D781A"/>
    <w:rsid w:val="009D792D"/>
    <w:rsid w:val="009D7978"/>
    <w:rsid w:val="009E4A1C"/>
    <w:rsid w:val="009E52C6"/>
    <w:rsid w:val="009E619F"/>
    <w:rsid w:val="009E65FD"/>
    <w:rsid w:val="009E6C40"/>
    <w:rsid w:val="009E7B59"/>
    <w:rsid w:val="009F035E"/>
    <w:rsid w:val="009F0515"/>
    <w:rsid w:val="009F19F8"/>
    <w:rsid w:val="009F1BA1"/>
    <w:rsid w:val="009F254E"/>
    <w:rsid w:val="009F2630"/>
    <w:rsid w:val="009F3814"/>
    <w:rsid w:val="009F4091"/>
    <w:rsid w:val="009F436B"/>
    <w:rsid w:val="009F5397"/>
    <w:rsid w:val="009F5A31"/>
    <w:rsid w:val="009F6A3C"/>
    <w:rsid w:val="009F6CFF"/>
    <w:rsid w:val="009F6FFB"/>
    <w:rsid w:val="009F736D"/>
    <w:rsid w:val="009F7C24"/>
    <w:rsid w:val="00A00821"/>
    <w:rsid w:val="00A00AD6"/>
    <w:rsid w:val="00A01BC8"/>
    <w:rsid w:val="00A021D7"/>
    <w:rsid w:val="00A0388E"/>
    <w:rsid w:val="00A03BB4"/>
    <w:rsid w:val="00A04035"/>
    <w:rsid w:val="00A070AE"/>
    <w:rsid w:val="00A07ABF"/>
    <w:rsid w:val="00A10665"/>
    <w:rsid w:val="00A10D77"/>
    <w:rsid w:val="00A110C4"/>
    <w:rsid w:val="00A11F83"/>
    <w:rsid w:val="00A11F99"/>
    <w:rsid w:val="00A12185"/>
    <w:rsid w:val="00A15090"/>
    <w:rsid w:val="00A15A62"/>
    <w:rsid w:val="00A16E62"/>
    <w:rsid w:val="00A17992"/>
    <w:rsid w:val="00A17D4F"/>
    <w:rsid w:val="00A17D9F"/>
    <w:rsid w:val="00A203BF"/>
    <w:rsid w:val="00A228EB"/>
    <w:rsid w:val="00A22B28"/>
    <w:rsid w:val="00A2348B"/>
    <w:rsid w:val="00A23E41"/>
    <w:rsid w:val="00A260BE"/>
    <w:rsid w:val="00A26BC1"/>
    <w:rsid w:val="00A27143"/>
    <w:rsid w:val="00A32E8F"/>
    <w:rsid w:val="00A362DE"/>
    <w:rsid w:val="00A37CAE"/>
    <w:rsid w:val="00A409BC"/>
    <w:rsid w:val="00A40BD9"/>
    <w:rsid w:val="00A42600"/>
    <w:rsid w:val="00A42651"/>
    <w:rsid w:val="00A43366"/>
    <w:rsid w:val="00A43DD9"/>
    <w:rsid w:val="00A4689D"/>
    <w:rsid w:val="00A470BB"/>
    <w:rsid w:val="00A51029"/>
    <w:rsid w:val="00A5230D"/>
    <w:rsid w:val="00A55CF3"/>
    <w:rsid w:val="00A569A9"/>
    <w:rsid w:val="00A57926"/>
    <w:rsid w:val="00A61FB1"/>
    <w:rsid w:val="00A622AF"/>
    <w:rsid w:val="00A62E6A"/>
    <w:rsid w:val="00A63246"/>
    <w:rsid w:val="00A63FF5"/>
    <w:rsid w:val="00A64945"/>
    <w:rsid w:val="00A65C94"/>
    <w:rsid w:val="00A661F4"/>
    <w:rsid w:val="00A66452"/>
    <w:rsid w:val="00A66D1F"/>
    <w:rsid w:val="00A677D5"/>
    <w:rsid w:val="00A71B4F"/>
    <w:rsid w:val="00A71D44"/>
    <w:rsid w:val="00A7207C"/>
    <w:rsid w:val="00A72340"/>
    <w:rsid w:val="00A72B4D"/>
    <w:rsid w:val="00A738EC"/>
    <w:rsid w:val="00A7400C"/>
    <w:rsid w:val="00A7650A"/>
    <w:rsid w:val="00A80B78"/>
    <w:rsid w:val="00A80F49"/>
    <w:rsid w:val="00A814E2"/>
    <w:rsid w:val="00A819E1"/>
    <w:rsid w:val="00A82A5A"/>
    <w:rsid w:val="00A8328C"/>
    <w:rsid w:val="00A83368"/>
    <w:rsid w:val="00A83695"/>
    <w:rsid w:val="00A83BCB"/>
    <w:rsid w:val="00A84D11"/>
    <w:rsid w:val="00A903C3"/>
    <w:rsid w:val="00A90990"/>
    <w:rsid w:val="00A91F56"/>
    <w:rsid w:val="00A93583"/>
    <w:rsid w:val="00A9498D"/>
    <w:rsid w:val="00A94CFA"/>
    <w:rsid w:val="00A953F3"/>
    <w:rsid w:val="00A969AC"/>
    <w:rsid w:val="00AA02DC"/>
    <w:rsid w:val="00AA057E"/>
    <w:rsid w:val="00AA0BD5"/>
    <w:rsid w:val="00AA0D0C"/>
    <w:rsid w:val="00AA35A7"/>
    <w:rsid w:val="00AA3A3D"/>
    <w:rsid w:val="00AA413D"/>
    <w:rsid w:val="00AA431F"/>
    <w:rsid w:val="00AA4443"/>
    <w:rsid w:val="00AA7A74"/>
    <w:rsid w:val="00AA7EBE"/>
    <w:rsid w:val="00AB068B"/>
    <w:rsid w:val="00AB0E27"/>
    <w:rsid w:val="00AB2C6E"/>
    <w:rsid w:val="00AB38BB"/>
    <w:rsid w:val="00AB5C3E"/>
    <w:rsid w:val="00AB5C40"/>
    <w:rsid w:val="00AB7506"/>
    <w:rsid w:val="00AB797E"/>
    <w:rsid w:val="00AC0128"/>
    <w:rsid w:val="00AC187A"/>
    <w:rsid w:val="00AC1C7B"/>
    <w:rsid w:val="00AC2320"/>
    <w:rsid w:val="00AC5374"/>
    <w:rsid w:val="00AC568C"/>
    <w:rsid w:val="00AC778A"/>
    <w:rsid w:val="00AC7BFB"/>
    <w:rsid w:val="00AD216F"/>
    <w:rsid w:val="00AD286C"/>
    <w:rsid w:val="00AD336D"/>
    <w:rsid w:val="00AD3B3B"/>
    <w:rsid w:val="00AD4749"/>
    <w:rsid w:val="00AD5F8E"/>
    <w:rsid w:val="00AD7BCF"/>
    <w:rsid w:val="00AD7CE4"/>
    <w:rsid w:val="00AE0790"/>
    <w:rsid w:val="00AE0DAB"/>
    <w:rsid w:val="00AE0E5E"/>
    <w:rsid w:val="00AE13CE"/>
    <w:rsid w:val="00AE1427"/>
    <w:rsid w:val="00AE146A"/>
    <w:rsid w:val="00AE1FA6"/>
    <w:rsid w:val="00AE29CC"/>
    <w:rsid w:val="00AE354F"/>
    <w:rsid w:val="00AE4335"/>
    <w:rsid w:val="00AE75FC"/>
    <w:rsid w:val="00AE7789"/>
    <w:rsid w:val="00AF0413"/>
    <w:rsid w:val="00AF0A66"/>
    <w:rsid w:val="00AF0E97"/>
    <w:rsid w:val="00AF1924"/>
    <w:rsid w:val="00AF1B1F"/>
    <w:rsid w:val="00AF23BE"/>
    <w:rsid w:val="00AF3EBB"/>
    <w:rsid w:val="00AF435C"/>
    <w:rsid w:val="00AF466D"/>
    <w:rsid w:val="00AF518E"/>
    <w:rsid w:val="00AF5E60"/>
    <w:rsid w:val="00AF6599"/>
    <w:rsid w:val="00AF7675"/>
    <w:rsid w:val="00B00427"/>
    <w:rsid w:val="00B01566"/>
    <w:rsid w:val="00B02C22"/>
    <w:rsid w:val="00B04E44"/>
    <w:rsid w:val="00B0572D"/>
    <w:rsid w:val="00B07CA0"/>
    <w:rsid w:val="00B10513"/>
    <w:rsid w:val="00B10BD4"/>
    <w:rsid w:val="00B114B8"/>
    <w:rsid w:val="00B11582"/>
    <w:rsid w:val="00B13272"/>
    <w:rsid w:val="00B134C0"/>
    <w:rsid w:val="00B144D7"/>
    <w:rsid w:val="00B14B03"/>
    <w:rsid w:val="00B15D83"/>
    <w:rsid w:val="00B16368"/>
    <w:rsid w:val="00B1701E"/>
    <w:rsid w:val="00B175B9"/>
    <w:rsid w:val="00B1760D"/>
    <w:rsid w:val="00B203FF"/>
    <w:rsid w:val="00B2046E"/>
    <w:rsid w:val="00B20477"/>
    <w:rsid w:val="00B20752"/>
    <w:rsid w:val="00B208B5"/>
    <w:rsid w:val="00B215AC"/>
    <w:rsid w:val="00B22474"/>
    <w:rsid w:val="00B234A0"/>
    <w:rsid w:val="00B23757"/>
    <w:rsid w:val="00B23D68"/>
    <w:rsid w:val="00B24597"/>
    <w:rsid w:val="00B24885"/>
    <w:rsid w:val="00B2517D"/>
    <w:rsid w:val="00B258C7"/>
    <w:rsid w:val="00B309AF"/>
    <w:rsid w:val="00B30DC1"/>
    <w:rsid w:val="00B35747"/>
    <w:rsid w:val="00B365AF"/>
    <w:rsid w:val="00B379BA"/>
    <w:rsid w:val="00B44A96"/>
    <w:rsid w:val="00B44F08"/>
    <w:rsid w:val="00B4573B"/>
    <w:rsid w:val="00B46C52"/>
    <w:rsid w:val="00B47090"/>
    <w:rsid w:val="00B47243"/>
    <w:rsid w:val="00B47AD0"/>
    <w:rsid w:val="00B47CD0"/>
    <w:rsid w:val="00B47FD1"/>
    <w:rsid w:val="00B502AA"/>
    <w:rsid w:val="00B50579"/>
    <w:rsid w:val="00B50673"/>
    <w:rsid w:val="00B52E1D"/>
    <w:rsid w:val="00B5307B"/>
    <w:rsid w:val="00B53402"/>
    <w:rsid w:val="00B537B5"/>
    <w:rsid w:val="00B54C0A"/>
    <w:rsid w:val="00B54E3D"/>
    <w:rsid w:val="00B55934"/>
    <w:rsid w:val="00B56503"/>
    <w:rsid w:val="00B60522"/>
    <w:rsid w:val="00B6113F"/>
    <w:rsid w:val="00B62C41"/>
    <w:rsid w:val="00B63733"/>
    <w:rsid w:val="00B63CC4"/>
    <w:rsid w:val="00B6453F"/>
    <w:rsid w:val="00B64856"/>
    <w:rsid w:val="00B64F36"/>
    <w:rsid w:val="00B664E9"/>
    <w:rsid w:val="00B708BF"/>
    <w:rsid w:val="00B717E7"/>
    <w:rsid w:val="00B71ACD"/>
    <w:rsid w:val="00B71DDA"/>
    <w:rsid w:val="00B71E9A"/>
    <w:rsid w:val="00B7208E"/>
    <w:rsid w:val="00B72E3E"/>
    <w:rsid w:val="00B74594"/>
    <w:rsid w:val="00B7470E"/>
    <w:rsid w:val="00B75565"/>
    <w:rsid w:val="00B76FF2"/>
    <w:rsid w:val="00B77E40"/>
    <w:rsid w:val="00B80464"/>
    <w:rsid w:val="00B80CCA"/>
    <w:rsid w:val="00B839BB"/>
    <w:rsid w:val="00B83B87"/>
    <w:rsid w:val="00B84DEA"/>
    <w:rsid w:val="00B857DA"/>
    <w:rsid w:val="00B87252"/>
    <w:rsid w:val="00B87CF3"/>
    <w:rsid w:val="00B87F95"/>
    <w:rsid w:val="00B90203"/>
    <w:rsid w:val="00B902CC"/>
    <w:rsid w:val="00B90B0D"/>
    <w:rsid w:val="00B9176C"/>
    <w:rsid w:val="00B9276A"/>
    <w:rsid w:val="00B94360"/>
    <w:rsid w:val="00B95001"/>
    <w:rsid w:val="00B95302"/>
    <w:rsid w:val="00B966B4"/>
    <w:rsid w:val="00B97527"/>
    <w:rsid w:val="00BA01DD"/>
    <w:rsid w:val="00BA025F"/>
    <w:rsid w:val="00BA066C"/>
    <w:rsid w:val="00BA56B4"/>
    <w:rsid w:val="00BA56CE"/>
    <w:rsid w:val="00BA69E7"/>
    <w:rsid w:val="00BA6D5C"/>
    <w:rsid w:val="00BA71CA"/>
    <w:rsid w:val="00BA7322"/>
    <w:rsid w:val="00BA736B"/>
    <w:rsid w:val="00BB1B65"/>
    <w:rsid w:val="00BB1FC0"/>
    <w:rsid w:val="00BB243F"/>
    <w:rsid w:val="00BB2AF5"/>
    <w:rsid w:val="00BB4A29"/>
    <w:rsid w:val="00BB7BDB"/>
    <w:rsid w:val="00BC1793"/>
    <w:rsid w:val="00BC1E87"/>
    <w:rsid w:val="00BC216B"/>
    <w:rsid w:val="00BC27FC"/>
    <w:rsid w:val="00BC2FC6"/>
    <w:rsid w:val="00BC3C36"/>
    <w:rsid w:val="00BC40EF"/>
    <w:rsid w:val="00BC4223"/>
    <w:rsid w:val="00BC4294"/>
    <w:rsid w:val="00BC5052"/>
    <w:rsid w:val="00BC7210"/>
    <w:rsid w:val="00BC7533"/>
    <w:rsid w:val="00BC7C10"/>
    <w:rsid w:val="00BD0D90"/>
    <w:rsid w:val="00BD110A"/>
    <w:rsid w:val="00BD1BE6"/>
    <w:rsid w:val="00BD2223"/>
    <w:rsid w:val="00BD22A8"/>
    <w:rsid w:val="00BD337A"/>
    <w:rsid w:val="00BD378A"/>
    <w:rsid w:val="00BD38DD"/>
    <w:rsid w:val="00BD3995"/>
    <w:rsid w:val="00BD3B36"/>
    <w:rsid w:val="00BD4382"/>
    <w:rsid w:val="00BD75AF"/>
    <w:rsid w:val="00BE05DD"/>
    <w:rsid w:val="00BE094F"/>
    <w:rsid w:val="00BE1F60"/>
    <w:rsid w:val="00BE2119"/>
    <w:rsid w:val="00BE2A21"/>
    <w:rsid w:val="00BE36ED"/>
    <w:rsid w:val="00BE454E"/>
    <w:rsid w:val="00BE4AFB"/>
    <w:rsid w:val="00BE598A"/>
    <w:rsid w:val="00BF041B"/>
    <w:rsid w:val="00BF0A2A"/>
    <w:rsid w:val="00BF15D5"/>
    <w:rsid w:val="00BF2375"/>
    <w:rsid w:val="00BF289E"/>
    <w:rsid w:val="00BF2FCD"/>
    <w:rsid w:val="00BF3133"/>
    <w:rsid w:val="00BF3BE5"/>
    <w:rsid w:val="00BF3F6D"/>
    <w:rsid w:val="00BF4C54"/>
    <w:rsid w:val="00BF5443"/>
    <w:rsid w:val="00BF6DCA"/>
    <w:rsid w:val="00BF6DED"/>
    <w:rsid w:val="00BF6E57"/>
    <w:rsid w:val="00BF763F"/>
    <w:rsid w:val="00C00489"/>
    <w:rsid w:val="00C02D16"/>
    <w:rsid w:val="00C05741"/>
    <w:rsid w:val="00C05D03"/>
    <w:rsid w:val="00C06EA3"/>
    <w:rsid w:val="00C07113"/>
    <w:rsid w:val="00C07BCF"/>
    <w:rsid w:val="00C12969"/>
    <w:rsid w:val="00C12F48"/>
    <w:rsid w:val="00C1389F"/>
    <w:rsid w:val="00C13A37"/>
    <w:rsid w:val="00C14129"/>
    <w:rsid w:val="00C150B6"/>
    <w:rsid w:val="00C168B3"/>
    <w:rsid w:val="00C175FB"/>
    <w:rsid w:val="00C17718"/>
    <w:rsid w:val="00C23062"/>
    <w:rsid w:val="00C2557E"/>
    <w:rsid w:val="00C2646B"/>
    <w:rsid w:val="00C268A2"/>
    <w:rsid w:val="00C27A28"/>
    <w:rsid w:val="00C31DC2"/>
    <w:rsid w:val="00C3277B"/>
    <w:rsid w:val="00C3281E"/>
    <w:rsid w:val="00C32A81"/>
    <w:rsid w:val="00C32E52"/>
    <w:rsid w:val="00C33486"/>
    <w:rsid w:val="00C34583"/>
    <w:rsid w:val="00C35BDB"/>
    <w:rsid w:val="00C36820"/>
    <w:rsid w:val="00C4097F"/>
    <w:rsid w:val="00C41C47"/>
    <w:rsid w:val="00C41EA9"/>
    <w:rsid w:val="00C43A1E"/>
    <w:rsid w:val="00C43A36"/>
    <w:rsid w:val="00C442E1"/>
    <w:rsid w:val="00C44931"/>
    <w:rsid w:val="00C44CAC"/>
    <w:rsid w:val="00C454D3"/>
    <w:rsid w:val="00C457CF"/>
    <w:rsid w:val="00C45DCA"/>
    <w:rsid w:val="00C4604E"/>
    <w:rsid w:val="00C51DCB"/>
    <w:rsid w:val="00C52E7A"/>
    <w:rsid w:val="00C52FE5"/>
    <w:rsid w:val="00C53210"/>
    <w:rsid w:val="00C540D5"/>
    <w:rsid w:val="00C55FBF"/>
    <w:rsid w:val="00C56483"/>
    <w:rsid w:val="00C56CC3"/>
    <w:rsid w:val="00C57B7A"/>
    <w:rsid w:val="00C57C01"/>
    <w:rsid w:val="00C606A6"/>
    <w:rsid w:val="00C62247"/>
    <w:rsid w:val="00C62B5E"/>
    <w:rsid w:val="00C6341A"/>
    <w:rsid w:val="00C63BB2"/>
    <w:rsid w:val="00C645BD"/>
    <w:rsid w:val="00C6558E"/>
    <w:rsid w:val="00C67137"/>
    <w:rsid w:val="00C6718D"/>
    <w:rsid w:val="00C673C1"/>
    <w:rsid w:val="00C674D3"/>
    <w:rsid w:val="00C67AB3"/>
    <w:rsid w:val="00C70338"/>
    <w:rsid w:val="00C7125D"/>
    <w:rsid w:val="00C7379B"/>
    <w:rsid w:val="00C7397E"/>
    <w:rsid w:val="00C73A26"/>
    <w:rsid w:val="00C753F4"/>
    <w:rsid w:val="00C75B37"/>
    <w:rsid w:val="00C768CD"/>
    <w:rsid w:val="00C76C5E"/>
    <w:rsid w:val="00C76DA2"/>
    <w:rsid w:val="00C81D9A"/>
    <w:rsid w:val="00C830FE"/>
    <w:rsid w:val="00C834A6"/>
    <w:rsid w:val="00C86633"/>
    <w:rsid w:val="00C8681C"/>
    <w:rsid w:val="00C908C1"/>
    <w:rsid w:val="00C90A13"/>
    <w:rsid w:val="00C90BBE"/>
    <w:rsid w:val="00C90D4C"/>
    <w:rsid w:val="00C918E0"/>
    <w:rsid w:val="00C91AAE"/>
    <w:rsid w:val="00C93E82"/>
    <w:rsid w:val="00C9573E"/>
    <w:rsid w:val="00C9749E"/>
    <w:rsid w:val="00C97768"/>
    <w:rsid w:val="00CA028B"/>
    <w:rsid w:val="00CA0BBA"/>
    <w:rsid w:val="00CA154D"/>
    <w:rsid w:val="00CA1779"/>
    <w:rsid w:val="00CA5580"/>
    <w:rsid w:val="00CB12E2"/>
    <w:rsid w:val="00CB2B11"/>
    <w:rsid w:val="00CB33BF"/>
    <w:rsid w:val="00CB35DD"/>
    <w:rsid w:val="00CB3653"/>
    <w:rsid w:val="00CB3E23"/>
    <w:rsid w:val="00CB3E60"/>
    <w:rsid w:val="00CB4B47"/>
    <w:rsid w:val="00CB5E84"/>
    <w:rsid w:val="00CB7288"/>
    <w:rsid w:val="00CC06C1"/>
    <w:rsid w:val="00CC0753"/>
    <w:rsid w:val="00CC1419"/>
    <w:rsid w:val="00CC35CE"/>
    <w:rsid w:val="00CC3991"/>
    <w:rsid w:val="00CC449D"/>
    <w:rsid w:val="00CC531A"/>
    <w:rsid w:val="00CD02D0"/>
    <w:rsid w:val="00CD03CA"/>
    <w:rsid w:val="00CD13FD"/>
    <w:rsid w:val="00CD2A5F"/>
    <w:rsid w:val="00CD30CC"/>
    <w:rsid w:val="00CD35BD"/>
    <w:rsid w:val="00CD3948"/>
    <w:rsid w:val="00CD44C1"/>
    <w:rsid w:val="00CD5E8E"/>
    <w:rsid w:val="00CD66C7"/>
    <w:rsid w:val="00CD7F1E"/>
    <w:rsid w:val="00CE0774"/>
    <w:rsid w:val="00CE1538"/>
    <w:rsid w:val="00CE3943"/>
    <w:rsid w:val="00CE584D"/>
    <w:rsid w:val="00CE5A61"/>
    <w:rsid w:val="00CE5B8D"/>
    <w:rsid w:val="00CE5E34"/>
    <w:rsid w:val="00CE6A54"/>
    <w:rsid w:val="00CE737F"/>
    <w:rsid w:val="00CE7A05"/>
    <w:rsid w:val="00CF1606"/>
    <w:rsid w:val="00CF185E"/>
    <w:rsid w:val="00CF1EDC"/>
    <w:rsid w:val="00CF20CE"/>
    <w:rsid w:val="00CF2484"/>
    <w:rsid w:val="00CF25CE"/>
    <w:rsid w:val="00CF2D14"/>
    <w:rsid w:val="00CF2ED6"/>
    <w:rsid w:val="00CF3507"/>
    <w:rsid w:val="00CF3F48"/>
    <w:rsid w:val="00CF44D9"/>
    <w:rsid w:val="00CF47A5"/>
    <w:rsid w:val="00CF7775"/>
    <w:rsid w:val="00D0052E"/>
    <w:rsid w:val="00D01F03"/>
    <w:rsid w:val="00D04DD8"/>
    <w:rsid w:val="00D061EA"/>
    <w:rsid w:val="00D06D31"/>
    <w:rsid w:val="00D07F5E"/>
    <w:rsid w:val="00D07F70"/>
    <w:rsid w:val="00D112BC"/>
    <w:rsid w:val="00D11BB2"/>
    <w:rsid w:val="00D12295"/>
    <w:rsid w:val="00D138C7"/>
    <w:rsid w:val="00D13E3B"/>
    <w:rsid w:val="00D14712"/>
    <w:rsid w:val="00D14888"/>
    <w:rsid w:val="00D16ACF"/>
    <w:rsid w:val="00D20121"/>
    <w:rsid w:val="00D21274"/>
    <w:rsid w:val="00D21548"/>
    <w:rsid w:val="00D21822"/>
    <w:rsid w:val="00D226AD"/>
    <w:rsid w:val="00D22B4B"/>
    <w:rsid w:val="00D24D47"/>
    <w:rsid w:val="00D25631"/>
    <w:rsid w:val="00D25CE0"/>
    <w:rsid w:val="00D273D3"/>
    <w:rsid w:val="00D30B73"/>
    <w:rsid w:val="00D30C77"/>
    <w:rsid w:val="00D329DB"/>
    <w:rsid w:val="00D340DC"/>
    <w:rsid w:val="00D34AE8"/>
    <w:rsid w:val="00D35422"/>
    <w:rsid w:val="00D35594"/>
    <w:rsid w:val="00D35AEF"/>
    <w:rsid w:val="00D35BE1"/>
    <w:rsid w:val="00D35CDC"/>
    <w:rsid w:val="00D36A6E"/>
    <w:rsid w:val="00D373B5"/>
    <w:rsid w:val="00D41F13"/>
    <w:rsid w:val="00D42B92"/>
    <w:rsid w:val="00D444AE"/>
    <w:rsid w:val="00D445D3"/>
    <w:rsid w:val="00D46127"/>
    <w:rsid w:val="00D46427"/>
    <w:rsid w:val="00D47056"/>
    <w:rsid w:val="00D50019"/>
    <w:rsid w:val="00D50028"/>
    <w:rsid w:val="00D536BE"/>
    <w:rsid w:val="00D53919"/>
    <w:rsid w:val="00D53FCB"/>
    <w:rsid w:val="00D54377"/>
    <w:rsid w:val="00D5545D"/>
    <w:rsid w:val="00D55A95"/>
    <w:rsid w:val="00D56A10"/>
    <w:rsid w:val="00D56F6E"/>
    <w:rsid w:val="00D5753C"/>
    <w:rsid w:val="00D57A51"/>
    <w:rsid w:val="00D60D7A"/>
    <w:rsid w:val="00D6377F"/>
    <w:rsid w:val="00D63963"/>
    <w:rsid w:val="00D678A8"/>
    <w:rsid w:val="00D71535"/>
    <w:rsid w:val="00D719DD"/>
    <w:rsid w:val="00D72A83"/>
    <w:rsid w:val="00D73ED5"/>
    <w:rsid w:val="00D74068"/>
    <w:rsid w:val="00D748C2"/>
    <w:rsid w:val="00D74DEC"/>
    <w:rsid w:val="00D750CD"/>
    <w:rsid w:val="00D754DB"/>
    <w:rsid w:val="00D75C51"/>
    <w:rsid w:val="00D75CD4"/>
    <w:rsid w:val="00D760C9"/>
    <w:rsid w:val="00D768FD"/>
    <w:rsid w:val="00D77279"/>
    <w:rsid w:val="00D80D5D"/>
    <w:rsid w:val="00D8170D"/>
    <w:rsid w:val="00D81D0B"/>
    <w:rsid w:val="00D83041"/>
    <w:rsid w:val="00D83F1B"/>
    <w:rsid w:val="00D8450E"/>
    <w:rsid w:val="00D84B5D"/>
    <w:rsid w:val="00D85235"/>
    <w:rsid w:val="00D8634D"/>
    <w:rsid w:val="00D864D2"/>
    <w:rsid w:val="00D86CBD"/>
    <w:rsid w:val="00D87361"/>
    <w:rsid w:val="00D913B6"/>
    <w:rsid w:val="00D92454"/>
    <w:rsid w:val="00D932C5"/>
    <w:rsid w:val="00D93533"/>
    <w:rsid w:val="00D93DE8"/>
    <w:rsid w:val="00D95B62"/>
    <w:rsid w:val="00D9743E"/>
    <w:rsid w:val="00D97F78"/>
    <w:rsid w:val="00DA27D1"/>
    <w:rsid w:val="00DA2C72"/>
    <w:rsid w:val="00DA34C0"/>
    <w:rsid w:val="00DA3E45"/>
    <w:rsid w:val="00DA3EF5"/>
    <w:rsid w:val="00DA4529"/>
    <w:rsid w:val="00DA54E8"/>
    <w:rsid w:val="00DB0057"/>
    <w:rsid w:val="00DB05C9"/>
    <w:rsid w:val="00DB0C8E"/>
    <w:rsid w:val="00DB10B6"/>
    <w:rsid w:val="00DB13EC"/>
    <w:rsid w:val="00DB1875"/>
    <w:rsid w:val="00DB2410"/>
    <w:rsid w:val="00DB4C9A"/>
    <w:rsid w:val="00DB5AF6"/>
    <w:rsid w:val="00DB6D19"/>
    <w:rsid w:val="00DB721B"/>
    <w:rsid w:val="00DB7401"/>
    <w:rsid w:val="00DB7908"/>
    <w:rsid w:val="00DC10EA"/>
    <w:rsid w:val="00DC14D9"/>
    <w:rsid w:val="00DC2F9B"/>
    <w:rsid w:val="00DC42B0"/>
    <w:rsid w:val="00DC44B1"/>
    <w:rsid w:val="00DC46C6"/>
    <w:rsid w:val="00DC4963"/>
    <w:rsid w:val="00DC4D05"/>
    <w:rsid w:val="00DC5F25"/>
    <w:rsid w:val="00DC6399"/>
    <w:rsid w:val="00DC6E8E"/>
    <w:rsid w:val="00DD0CBB"/>
    <w:rsid w:val="00DD3A0E"/>
    <w:rsid w:val="00DD3FEA"/>
    <w:rsid w:val="00DD4DD9"/>
    <w:rsid w:val="00DD4EA2"/>
    <w:rsid w:val="00DD508A"/>
    <w:rsid w:val="00DD5AB9"/>
    <w:rsid w:val="00DD5F6A"/>
    <w:rsid w:val="00DD6CC3"/>
    <w:rsid w:val="00DE2146"/>
    <w:rsid w:val="00DE2A29"/>
    <w:rsid w:val="00DE32C4"/>
    <w:rsid w:val="00DE5927"/>
    <w:rsid w:val="00DE6D27"/>
    <w:rsid w:val="00DE734E"/>
    <w:rsid w:val="00DF05C8"/>
    <w:rsid w:val="00DF2059"/>
    <w:rsid w:val="00DF28EC"/>
    <w:rsid w:val="00DF3DD1"/>
    <w:rsid w:val="00DF68E0"/>
    <w:rsid w:val="00DF79C6"/>
    <w:rsid w:val="00DF7DF5"/>
    <w:rsid w:val="00E00A14"/>
    <w:rsid w:val="00E02B94"/>
    <w:rsid w:val="00E0319C"/>
    <w:rsid w:val="00E0484D"/>
    <w:rsid w:val="00E067F9"/>
    <w:rsid w:val="00E079CC"/>
    <w:rsid w:val="00E07C5C"/>
    <w:rsid w:val="00E07FCE"/>
    <w:rsid w:val="00E10581"/>
    <w:rsid w:val="00E106C0"/>
    <w:rsid w:val="00E10B98"/>
    <w:rsid w:val="00E13791"/>
    <w:rsid w:val="00E13ED6"/>
    <w:rsid w:val="00E16DA3"/>
    <w:rsid w:val="00E17D98"/>
    <w:rsid w:val="00E2013B"/>
    <w:rsid w:val="00E214D5"/>
    <w:rsid w:val="00E216E0"/>
    <w:rsid w:val="00E220A8"/>
    <w:rsid w:val="00E22333"/>
    <w:rsid w:val="00E2273B"/>
    <w:rsid w:val="00E23545"/>
    <w:rsid w:val="00E25568"/>
    <w:rsid w:val="00E25F52"/>
    <w:rsid w:val="00E260A0"/>
    <w:rsid w:val="00E269AD"/>
    <w:rsid w:val="00E31D43"/>
    <w:rsid w:val="00E332F7"/>
    <w:rsid w:val="00E33C54"/>
    <w:rsid w:val="00E34808"/>
    <w:rsid w:val="00E353BA"/>
    <w:rsid w:val="00E363B3"/>
    <w:rsid w:val="00E37D61"/>
    <w:rsid w:val="00E37ED0"/>
    <w:rsid w:val="00E41898"/>
    <w:rsid w:val="00E433C3"/>
    <w:rsid w:val="00E43D35"/>
    <w:rsid w:val="00E4465A"/>
    <w:rsid w:val="00E44EF2"/>
    <w:rsid w:val="00E459CF"/>
    <w:rsid w:val="00E478FF"/>
    <w:rsid w:val="00E54A90"/>
    <w:rsid w:val="00E5515A"/>
    <w:rsid w:val="00E56429"/>
    <w:rsid w:val="00E603D7"/>
    <w:rsid w:val="00E60B8C"/>
    <w:rsid w:val="00E6110E"/>
    <w:rsid w:val="00E61363"/>
    <w:rsid w:val="00E61870"/>
    <w:rsid w:val="00E63037"/>
    <w:rsid w:val="00E640B9"/>
    <w:rsid w:val="00E643EF"/>
    <w:rsid w:val="00E646B6"/>
    <w:rsid w:val="00E656FD"/>
    <w:rsid w:val="00E657F2"/>
    <w:rsid w:val="00E65B3B"/>
    <w:rsid w:val="00E661FE"/>
    <w:rsid w:val="00E66D02"/>
    <w:rsid w:val="00E676AD"/>
    <w:rsid w:val="00E702CB"/>
    <w:rsid w:val="00E70637"/>
    <w:rsid w:val="00E728BE"/>
    <w:rsid w:val="00E7317B"/>
    <w:rsid w:val="00E73301"/>
    <w:rsid w:val="00E73565"/>
    <w:rsid w:val="00E7386A"/>
    <w:rsid w:val="00E745CA"/>
    <w:rsid w:val="00E758DD"/>
    <w:rsid w:val="00E7590E"/>
    <w:rsid w:val="00E75BE5"/>
    <w:rsid w:val="00E75DBD"/>
    <w:rsid w:val="00E76346"/>
    <w:rsid w:val="00E775B8"/>
    <w:rsid w:val="00E775C1"/>
    <w:rsid w:val="00E77A09"/>
    <w:rsid w:val="00E803B0"/>
    <w:rsid w:val="00E80743"/>
    <w:rsid w:val="00E81AFB"/>
    <w:rsid w:val="00E81E17"/>
    <w:rsid w:val="00E82DD2"/>
    <w:rsid w:val="00E8384A"/>
    <w:rsid w:val="00E84319"/>
    <w:rsid w:val="00E90726"/>
    <w:rsid w:val="00E92090"/>
    <w:rsid w:val="00E92273"/>
    <w:rsid w:val="00E928C8"/>
    <w:rsid w:val="00E93DCD"/>
    <w:rsid w:val="00E971C4"/>
    <w:rsid w:val="00EA0C53"/>
    <w:rsid w:val="00EA1536"/>
    <w:rsid w:val="00EA202D"/>
    <w:rsid w:val="00EA23D1"/>
    <w:rsid w:val="00EA3743"/>
    <w:rsid w:val="00EA4548"/>
    <w:rsid w:val="00EA5F52"/>
    <w:rsid w:val="00EA6929"/>
    <w:rsid w:val="00EA6FD7"/>
    <w:rsid w:val="00EA77E9"/>
    <w:rsid w:val="00EB0125"/>
    <w:rsid w:val="00EB0B54"/>
    <w:rsid w:val="00EB0E29"/>
    <w:rsid w:val="00EB13E4"/>
    <w:rsid w:val="00EB1999"/>
    <w:rsid w:val="00EB1B7F"/>
    <w:rsid w:val="00EB1E9C"/>
    <w:rsid w:val="00EB28E8"/>
    <w:rsid w:val="00EB6577"/>
    <w:rsid w:val="00EC007C"/>
    <w:rsid w:val="00EC01CE"/>
    <w:rsid w:val="00EC03B5"/>
    <w:rsid w:val="00EC3116"/>
    <w:rsid w:val="00EC4244"/>
    <w:rsid w:val="00EC55E8"/>
    <w:rsid w:val="00EC702D"/>
    <w:rsid w:val="00ED0628"/>
    <w:rsid w:val="00ED08F1"/>
    <w:rsid w:val="00ED156E"/>
    <w:rsid w:val="00ED16A9"/>
    <w:rsid w:val="00ED25C1"/>
    <w:rsid w:val="00ED369C"/>
    <w:rsid w:val="00ED39B9"/>
    <w:rsid w:val="00ED4F56"/>
    <w:rsid w:val="00ED6FBF"/>
    <w:rsid w:val="00ED70F4"/>
    <w:rsid w:val="00EE0042"/>
    <w:rsid w:val="00EE0228"/>
    <w:rsid w:val="00EE1A9D"/>
    <w:rsid w:val="00EE1AD1"/>
    <w:rsid w:val="00EE2DE7"/>
    <w:rsid w:val="00EE30F7"/>
    <w:rsid w:val="00EE3C71"/>
    <w:rsid w:val="00EE4451"/>
    <w:rsid w:val="00EE5F3B"/>
    <w:rsid w:val="00EE704B"/>
    <w:rsid w:val="00EE755E"/>
    <w:rsid w:val="00EF1614"/>
    <w:rsid w:val="00EF22EB"/>
    <w:rsid w:val="00EF4AB1"/>
    <w:rsid w:val="00EF4E1C"/>
    <w:rsid w:val="00EF4E55"/>
    <w:rsid w:val="00EF5B3E"/>
    <w:rsid w:val="00EF5F23"/>
    <w:rsid w:val="00EF63B5"/>
    <w:rsid w:val="00EF7123"/>
    <w:rsid w:val="00EF76F8"/>
    <w:rsid w:val="00EF7A96"/>
    <w:rsid w:val="00F004B4"/>
    <w:rsid w:val="00F010E3"/>
    <w:rsid w:val="00F014D1"/>
    <w:rsid w:val="00F01841"/>
    <w:rsid w:val="00F02C7C"/>
    <w:rsid w:val="00F02E84"/>
    <w:rsid w:val="00F03565"/>
    <w:rsid w:val="00F042C4"/>
    <w:rsid w:val="00F04543"/>
    <w:rsid w:val="00F05174"/>
    <w:rsid w:val="00F05673"/>
    <w:rsid w:val="00F06DA0"/>
    <w:rsid w:val="00F10B30"/>
    <w:rsid w:val="00F10B9B"/>
    <w:rsid w:val="00F11099"/>
    <w:rsid w:val="00F15B8C"/>
    <w:rsid w:val="00F1616D"/>
    <w:rsid w:val="00F205D1"/>
    <w:rsid w:val="00F22987"/>
    <w:rsid w:val="00F2451C"/>
    <w:rsid w:val="00F24DAD"/>
    <w:rsid w:val="00F25F9F"/>
    <w:rsid w:val="00F26D19"/>
    <w:rsid w:val="00F26E25"/>
    <w:rsid w:val="00F27BD9"/>
    <w:rsid w:val="00F27D84"/>
    <w:rsid w:val="00F30F69"/>
    <w:rsid w:val="00F31A17"/>
    <w:rsid w:val="00F31DD1"/>
    <w:rsid w:val="00F33237"/>
    <w:rsid w:val="00F335D3"/>
    <w:rsid w:val="00F338E1"/>
    <w:rsid w:val="00F34153"/>
    <w:rsid w:val="00F35771"/>
    <w:rsid w:val="00F36F4C"/>
    <w:rsid w:val="00F37206"/>
    <w:rsid w:val="00F40125"/>
    <w:rsid w:val="00F41ACE"/>
    <w:rsid w:val="00F41B82"/>
    <w:rsid w:val="00F41C64"/>
    <w:rsid w:val="00F426B0"/>
    <w:rsid w:val="00F42817"/>
    <w:rsid w:val="00F428B0"/>
    <w:rsid w:val="00F4477D"/>
    <w:rsid w:val="00F46B0C"/>
    <w:rsid w:val="00F46C61"/>
    <w:rsid w:val="00F512F2"/>
    <w:rsid w:val="00F513FD"/>
    <w:rsid w:val="00F525A4"/>
    <w:rsid w:val="00F53E0D"/>
    <w:rsid w:val="00F54278"/>
    <w:rsid w:val="00F550F0"/>
    <w:rsid w:val="00F55967"/>
    <w:rsid w:val="00F572C7"/>
    <w:rsid w:val="00F5743B"/>
    <w:rsid w:val="00F5797D"/>
    <w:rsid w:val="00F57A38"/>
    <w:rsid w:val="00F57C8F"/>
    <w:rsid w:val="00F57DE1"/>
    <w:rsid w:val="00F6015C"/>
    <w:rsid w:val="00F60961"/>
    <w:rsid w:val="00F6326C"/>
    <w:rsid w:val="00F63475"/>
    <w:rsid w:val="00F64966"/>
    <w:rsid w:val="00F67B38"/>
    <w:rsid w:val="00F70067"/>
    <w:rsid w:val="00F71688"/>
    <w:rsid w:val="00F71753"/>
    <w:rsid w:val="00F7299D"/>
    <w:rsid w:val="00F72F84"/>
    <w:rsid w:val="00F804E9"/>
    <w:rsid w:val="00F81631"/>
    <w:rsid w:val="00F81DCB"/>
    <w:rsid w:val="00F825F5"/>
    <w:rsid w:val="00F82770"/>
    <w:rsid w:val="00F82D52"/>
    <w:rsid w:val="00F838C0"/>
    <w:rsid w:val="00F852C4"/>
    <w:rsid w:val="00F8593E"/>
    <w:rsid w:val="00F85AE6"/>
    <w:rsid w:val="00F861DD"/>
    <w:rsid w:val="00F9052B"/>
    <w:rsid w:val="00F91AE3"/>
    <w:rsid w:val="00F9219D"/>
    <w:rsid w:val="00F9391D"/>
    <w:rsid w:val="00F93EB8"/>
    <w:rsid w:val="00F94F09"/>
    <w:rsid w:val="00F958D7"/>
    <w:rsid w:val="00F9671F"/>
    <w:rsid w:val="00F9676A"/>
    <w:rsid w:val="00F96CBF"/>
    <w:rsid w:val="00F970B0"/>
    <w:rsid w:val="00F97611"/>
    <w:rsid w:val="00F97F7C"/>
    <w:rsid w:val="00FA0781"/>
    <w:rsid w:val="00FA0A78"/>
    <w:rsid w:val="00FA0D4A"/>
    <w:rsid w:val="00FA117B"/>
    <w:rsid w:val="00FA19C2"/>
    <w:rsid w:val="00FA1F7C"/>
    <w:rsid w:val="00FA2087"/>
    <w:rsid w:val="00FA2B4C"/>
    <w:rsid w:val="00FA3B52"/>
    <w:rsid w:val="00FA3D60"/>
    <w:rsid w:val="00FB3E64"/>
    <w:rsid w:val="00FB4082"/>
    <w:rsid w:val="00FB49F8"/>
    <w:rsid w:val="00FB4C9E"/>
    <w:rsid w:val="00FB5BCB"/>
    <w:rsid w:val="00FB5C44"/>
    <w:rsid w:val="00FB6BDE"/>
    <w:rsid w:val="00FB6FC0"/>
    <w:rsid w:val="00FB7683"/>
    <w:rsid w:val="00FB7C2A"/>
    <w:rsid w:val="00FB7D77"/>
    <w:rsid w:val="00FC36B2"/>
    <w:rsid w:val="00FC3A69"/>
    <w:rsid w:val="00FC4862"/>
    <w:rsid w:val="00FC48FF"/>
    <w:rsid w:val="00FC54D2"/>
    <w:rsid w:val="00FC5C84"/>
    <w:rsid w:val="00FD0295"/>
    <w:rsid w:val="00FD0756"/>
    <w:rsid w:val="00FD097B"/>
    <w:rsid w:val="00FD2696"/>
    <w:rsid w:val="00FD3A69"/>
    <w:rsid w:val="00FD655B"/>
    <w:rsid w:val="00FD6BD8"/>
    <w:rsid w:val="00FD6D2F"/>
    <w:rsid w:val="00FD7F10"/>
    <w:rsid w:val="00FD7FC0"/>
    <w:rsid w:val="00FE01D1"/>
    <w:rsid w:val="00FE0E2E"/>
    <w:rsid w:val="00FE1CBF"/>
    <w:rsid w:val="00FE2530"/>
    <w:rsid w:val="00FE26B8"/>
    <w:rsid w:val="00FE369A"/>
    <w:rsid w:val="00FE466B"/>
    <w:rsid w:val="00FE4FFC"/>
    <w:rsid w:val="00FE618B"/>
    <w:rsid w:val="00FE63F2"/>
    <w:rsid w:val="00FE7FF4"/>
    <w:rsid w:val="00FF1BBD"/>
    <w:rsid w:val="00FF2481"/>
    <w:rsid w:val="00FF2B7C"/>
    <w:rsid w:val="00FF2CCF"/>
    <w:rsid w:val="00FF32A3"/>
    <w:rsid w:val="00FF4296"/>
    <w:rsid w:val="00FF44F0"/>
    <w:rsid w:val="00FF4FF2"/>
    <w:rsid w:val="00FF55D5"/>
    <w:rsid w:val="00FF57C2"/>
    <w:rsid w:val="00FF7E5F"/>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02D"/>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9F381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List Paragraph 1,Chapter Numbering,Table of contents numbered,MB SUB A,Indent 1,numbers normal cal,Riana Table Bullets 1,Grey Bullet List,Grey Bullet Style,Gov 2,Indent Paragraph,Colorful List - Accent 11,Bullets,normal"/>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 2 Char,List Paragraph 1 Char,Chapter Numbering Char,Table of contents numbered Char,MB SUB A Char,Indent 1 Char,numbers normal cal Char,Riana Table Bullets 1 Char,Grey Bullet List Char,Grey Bullet Style Char"/>
    <w:link w:val="ListParagraph"/>
    <w:uiPriority w:val="34"/>
    <w:locked/>
    <w:rsid w:val="009225D0"/>
    <w:rPr>
      <w:rFonts w:ascii="Calibri" w:eastAsia="Calibri" w:hAnsi="Calibri" w:cs="Times New Roman"/>
      <w:lang w:val="en-US"/>
    </w:rPr>
  </w:style>
  <w:style w:type="table" w:customStyle="1" w:styleId="TableGrid2">
    <w:name w:val="Table Grid2"/>
    <w:basedOn w:val="TableNormal"/>
    <w:next w:val="TableGrid"/>
    <w:uiPriority w:val="39"/>
    <w:rsid w:val="00563DB2"/>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6718D"/>
    <w:rPr>
      <w:b/>
      <w:bCs/>
    </w:rPr>
  </w:style>
  <w:style w:type="character" w:customStyle="1" w:styleId="CommentSubjectChar">
    <w:name w:val="Comment Subject Char"/>
    <w:basedOn w:val="CommentTextChar"/>
    <w:link w:val="CommentSubject"/>
    <w:uiPriority w:val="99"/>
    <w:semiHidden/>
    <w:rsid w:val="00C6718D"/>
    <w:rPr>
      <w:b/>
      <w:bCs/>
      <w:sz w:val="20"/>
      <w:szCs w:val="20"/>
    </w:rPr>
  </w:style>
  <w:style w:type="paragraph" w:styleId="Revision">
    <w:name w:val="Revision"/>
    <w:hidden/>
    <w:uiPriority w:val="99"/>
    <w:semiHidden/>
    <w:rsid w:val="00EE3C71"/>
    <w:pPr>
      <w:spacing w:after="0" w:line="240" w:lineRule="auto"/>
    </w:pPr>
  </w:style>
  <w:style w:type="character" w:customStyle="1" w:styleId="Heading7Char">
    <w:name w:val="Heading 7 Char"/>
    <w:basedOn w:val="DefaultParagraphFont"/>
    <w:link w:val="Heading7"/>
    <w:uiPriority w:val="9"/>
    <w:semiHidden/>
    <w:rsid w:val="009F3814"/>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3467">
      <w:bodyDiv w:val="1"/>
      <w:marLeft w:val="0"/>
      <w:marRight w:val="0"/>
      <w:marTop w:val="0"/>
      <w:marBottom w:val="0"/>
      <w:divBdr>
        <w:top w:val="none" w:sz="0" w:space="0" w:color="auto"/>
        <w:left w:val="none" w:sz="0" w:space="0" w:color="auto"/>
        <w:bottom w:val="none" w:sz="0" w:space="0" w:color="auto"/>
        <w:right w:val="none" w:sz="0" w:space="0" w:color="auto"/>
      </w:divBdr>
    </w:div>
    <w:div w:id="55204655">
      <w:bodyDiv w:val="1"/>
      <w:marLeft w:val="0"/>
      <w:marRight w:val="0"/>
      <w:marTop w:val="0"/>
      <w:marBottom w:val="0"/>
      <w:divBdr>
        <w:top w:val="none" w:sz="0" w:space="0" w:color="auto"/>
        <w:left w:val="none" w:sz="0" w:space="0" w:color="auto"/>
        <w:bottom w:val="none" w:sz="0" w:space="0" w:color="auto"/>
        <w:right w:val="none" w:sz="0" w:space="0" w:color="auto"/>
      </w:divBdr>
      <w:divsChild>
        <w:div w:id="1622106782">
          <w:marLeft w:val="360"/>
          <w:marRight w:val="0"/>
          <w:marTop w:val="100"/>
          <w:marBottom w:val="0"/>
          <w:divBdr>
            <w:top w:val="none" w:sz="0" w:space="0" w:color="auto"/>
            <w:left w:val="none" w:sz="0" w:space="0" w:color="auto"/>
            <w:bottom w:val="none" w:sz="0" w:space="0" w:color="auto"/>
            <w:right w:val="none" w:sz="0" w:space="0" w:color="auto"/>
          </w:divBdr>
        </w:div>
        <w:div w:id="194513307">
          <w:marLeft w:val="360"/>
          <w:marRight w:val="0"/>
          <w:marTop w:val="100"/>
          <w:marBottom w:val="0"/>
          <w:divBdr>
            <w:top w:val="none" w:sz="0" w:space="0" w:color="auto"/>
            <w:left w:val="none" w:sz="0" w:space="0" w:color="auto"/>
            <w:bottom w:val="none" w:sz="0" w:space="0" w:color="auto"/>
            <w:right w:val="none" w:sz="0" w:space="0" w:color="auto"/>
          </w:divBdr>
        </w:div>
        <w:div w:id="86468729">
          <w:marLeft w:val="360"/>
          <w:marRight w:val="0"/>
          <w:marTop w:val="100"/>
          <w:marBottom w:val="0"/>
          <w:divBdr>
            <w:top w:val="none" w:sz="0" w:space="0" w:color="auto"/>
            <w:left w:val="none" w:sz="0" w:space="0" w:color="auto"/>
            <w:bottom w:val="none" w:sz="0" w:space="0" w:color="auto"/>
            <w:right w:val="none" w:sz="0" w:space="0" w:color="auto"/>
          </w:divBdr>
        </w:div>
        <w:div w:id="1902710342">
          <w:marLeft w:val="360"/>
          <w:marRight w:val="0"/>
          <w:marTop w:val="100"/>
          <w:marBottom w:val="0"/>
          <w:divBdr>
            <w:top w:val="none" w:sz="0" w:space="0" w:color="auto"/>
            <w:left w:val="none" w:sz="0" w:space="0" w:color="auto"/>
            <w:bottom w:val="none" w:sz="0" w:space="0" w:color="auto"/>
            <w:right w:val="none" w:sz="0" w:space="0" w:color="auto"/>
          </w:divBdr>
        </w:div>
        <w:div w:id="2019576761">
          <w:marLeft w:val="360"/>
          <w:marRight w:val="0"/>
          <w:marTop w:val="100"/>
          <w:marBottom w:val="0"/>
          <w:divBdr>
            <w:top w:val="none" w:sz="0" w:space="0" w:color="auto"/>
            <w:left w:val="none" w:sz="0" w:space="0" w:color="auto"/>
            <w:bottom w:val="none" w:sz="0" w:space="0" w:color="auto"/>
            <w:right w:val="none" w:sz="0" w:space="0" w:color="auto"/>
          </w:divBdr>
        </w:div>
        <w:div w:id="327558908">
          <w:marLeft w:val="360"/>
          <w:marRight w:val="0"/>
          <w:marTop w:val="100"/>
          <w:marBottom w:val="0"/>
          <w:divBdr>
            <w:top w:val="none" w:sz="0" w:space="0" w:color="auto"/>
            <w:left w:val="none" w:sz="0" w:space="0" w:color="auto"/>
            <w:bottom w:val="none" w:sz="0" w:space="0" w:color="auto"/>
            <w:right w:val="none" w:sz="0" w:space="0" w:color="auto"/>
          </w:divBdr>
        </w:div>
        <w:div w:id="59986526">
          <w:marLeft w:val="360"/>
          <w:marRight w:val="0"/>
          <w:marTop w:val="100"/>
          <w:marBottom w:val="0"/>
          <w:divBdr>
            <w:top w:val="none" w:sz="0" w:space="0" w:color="auto"/>
            <w:left w:val="none" w:sz="0" w:space="0" w:color="auto"/>
            <w:bottom w:val="none" w:sz="0" w:space="0" w:color="auto"/>
            <w:right w:val="none" w:sz="0" w:space="0" w:color="auto"/>
          </w:divBdr>
        </w:div>
      </w:divsChild>
    </w:div>
    <w:div w:id="65538449">
      <w:bodyDiv w:val="1"/>
      <w:marLeft w:val="0"/>
      <w:marRight w:val="0"/>
      <w:marTop w:val="0"/>
      <w:marBottom w:val="0"/>
      <w:divBdr>
        <w:top w:val="none" w:sz="0" w:space="0" w:color="auto"/>
        <w:left w:val="none" w:sz="0" w:space="0" w:color="auto"/>
        <w:bottom w:val="none" w:sz="0" w:space="0" w:color="auto"/>
        <w:right w:val="none" w:sz="0" w:space="0" w:color="auto"/>
      </w:divBdr>
      <w:divsChild>
        <w:div w:id="105195270">
          <w:marLeft w:val="360"/>
          <w:marRight w:val="0"/>
          <w:marTop w:val="100"/>
          <w:marBottom w:val="0"/>
          <w:divBdr>
            <w:top w:val="none" w:sz="0" w:space="0" w:color="auto"/>
            <w:left w:val="none" w:sz="0" w:space="0" w:color="auto"/>
            <w:bottom w:val="none" w:sz="0" w:space="0" w:color="auto"/>
            <w:right w:val="none" w:sz="0" w:space="0" w:color="auto"/>
          </w:divBdr>
        </w:div>
        <w:div w:id="1614970267">
          <w:marLeft w:val="360"/>
          <w:marRight w:val="0"/>
          <w:marTop w:val="100"/>
          <w:marBottom w:val="0"/>
          <w:divBdr>
            <w:top w:val="none" w:sz="0" w:space="0" w:color="auto"/>
            <w:left w:val="none" w:sz="0" w:space="0" w:color="auto"/>
            <w:bottom w:val="none" w:sz="0" w:space="0" w:color="auto"/>
            <w:right w:val="none" w:sz="0" w:space="0" w:color="auto"/>
          </w:divBdr>
        </w:div>
        <w:div w:id="1238521012">
          <w:marLeft w:val="360"/>
          <w:marRight w:val="0"/>
          <w:marTop w:val="100"/>
          <w:marBottom w:val="0"/>
          <w:divBdr>
            <w:top w:val="none" w:sz="0" w:space="0" w:color="auto"/>
            <w:left w:val="none" w:sz="0" w:space="0" w:color="auto"/>
            <w:bottom w:val="none" w:sz="0" w:space="0" w:color="auto"/>
            <w:right w:val="none" w:sz="0" w:space="0" w:color="auto"/>
          </w:divBdr>
        </w:div>
        <w:div w:id="1698963195">
          <w:marLeft w:val="360"/>
          <w:marRight w:val="0"/>
          <w:marTop w:val="100"/>
          <w:marBottom w:val="0"/>
          <w:divBdr>
            <w:top w:val="none" w:sz="0" w:space="0" w:color="auto"/>
            <w:left w:val="none" w:sz="0" w:space="0" w:color="auto"/>
            <w:bottom w:val="none" w:sz="0" w:space="0" w:color="auto"/>
            <w:right w:val="none" w:sz="0" w:space="0" w:color="auto"/>
          </w:divBdr>
        </w:div>
      </w:divsChild>
    </w:div>
    <w:div w:id="161167258">
      <w:bodyDiv w:val="1"/>
      <w:marLeft w:val="0"/>
      <w:marRight w:val="0"/>
      <w:marTop w:val="0"/>
      <w:marBottom w:val="0"/>
      <w:divBdr>
        <w:top w:val="none" w:sz="0" w:space="0" w:color="auto"/>
        <w:left w:val="none" w:sz="0" w:space="0" w:color="auto"/>
        <w:bottom w:val="none" w:sz="0" w:space="0" w:color="auto"/>
        <w:right w:val="none" w:sz="0" w:space="0" w:color="auto"/>
      </w:divBdr>
      <w:divsChild>
        <w:div w:id="481041036">
          <w:marLeft w:val="360"/>
          <w:marRight w:val="0"/>
          <w:marTop w:val="200"/>
          <w:marBottom w:val="0"/>
          <w:divBdr>
            <w:top w:val="none" w:sz="0" w:space="0" w:color="auto"/>
            <w:left w:val="none" w:sz="0" w:space="0" w:color="auto"/>
            <w:bottom w:val="none" w:sz="0" w:space="0" w:color="auto"/>
            <w:right w:val="none" w:sz="0" w:space="0" w:color="auto"/>
          </w:divBdr>
        </w:div>
        <w:div w:id="1789666680">
          <w:marLeft w:val="360"/>
          <w:marRight w:val="0"/>
          <w:marTop w:val="200"/>
          <w:marBottom w:val="0"/>
          <w:divBdr>
            <w:top w:val="none" w:sz="0" w:space="0" w:color="auto"/>
            <w:left w:val="none" w:sz="0" w:space="0" w:color="auto"/>
            <w:bottom w:val="none" w:sz="0" w:space="0" w:color="auto"/>
            <w:right w:val="none" w:sz="0" w:space="0" w:color="auto"/>
          </w:divBdr>
        </w:div>
      </w:divsChild>
    </w:div>
    <w:div w:id="239876491">
      <w:bodyDiv w:val="1"/>
      <w:marLeft w:val="0"/>
      <w:marRight w:val="0"/>
      <w:marTop w:val="0"/>
      <w:marBottom w:val="0"/>
      <w:divBdr>
        <w:top w:val="none" w:sz="0" w:space="0" w:color="auto"/>
        <w:left w:val="none" w:sz="0" w:space="0" w:color="auto"/>
        <w:bottom w:val="none" w:sz="0" w:space="0" w:color="auto"/>
        <w:right w:val="none" w:sz="0" w:space="0" w:color="auto"/>
      </w:divBdr>
    </w:div>
    <w:div w:id="265164170">
      <w:bodyDiv w:val="1"/>
      <w:marLeft w:val="0"/>
      <w:marRight w:val="0"/>
      <w:marTop w:val="0"/>
      <w:marBottom w:val="0"/>
      <w:divBdr>
        <w:top w:val="none" w:sz="0" w:space="0" w:color="auto"/>
        <w:left w:val="none" w:sz="0" w:space="0" w:color="auto"/>
        <w:bottom w:val="none" w:sz="0" w:space="0" w:color="auto"/>
        <w:right w:val="none" w:sz="0" w:space="0" w:color="auto"/>
      </w:divBdr>
      <w:divsChild>
        <w:div w:id="1770930730">
          <w:marLeft w:val="360"/>
          <w:marRight w:val="0"/>
          <w:marTop w:val="200"/>
          <w:marBottom w:val="0"/>
          <w:divBdr>
            <w:top w:val="none" w:sz="0" w:space="0" w:color="auto"/>
            <w:left w:val="none" w:sz="0" w:space="0" w:color="auto"/>
            <w:bottom w:val="none" w:sz="0" w:space="0" w:color="auto"/>
            <w:right w:val="none" w:sz="0" w:space="0" w:color="auto"/>
          </w:divBdr>
        </w:div>
        <w:div w:id="70927545">
          <w:marLeft w:val="360"/>
          <w:marRight w:val="0"/>
          <w:marTop w:val="200"/>
          <w:marBottom w:val="0"/>
          <w:divBdr>
            <w:top w:val="none" w:sz="0" w:space="0" w:color="auto"/>
            <w:left w:val="none" w:sz="0" w:space="0" w:color="auto"/>
            <w:bottom w:val="none" w:sz="0" w:space="0" w:color="auto"/>
            <w:right w:val="none" w:sz="0" w:space="0" w:color="auto"/>
          </w:divBdr>
        </w:div>
        <w:div w:id="417212228">
          <w:marLeft w:val="360"/>
          <w:marRight w:val="0"/>
          <w:marTop w:val="200"/>
          <w:marBottom w:val="0"/>
          <w:divBdr>
            <w:top w:val="none" w:sz="0" w:space="0" w:color="auto"/>
            <w:left w:val="none" w:sz="0" w:space="0" w:color="auto"/>
            <w:bottom w:val="none" w:sz="0" w:space="0" w:color="auto"/>
            <w:right w:val="none" w:sz="0" w:space="0" w:color="auto"/>
          </w:divBdr>
        </w:div>
        <w:div w:id="2062904770">
          <w:marLeft w:val="360"/>
          <w:marRight w:val="0"/>
          <w:marTop w:val="200"/>
          <w:marBottom w:val="0"/>
          <w:divBdr>
            <w:top w:val="none" w:sz="0" w:space="0" w:color="auto"/>
            <w:left w:val="none" w:sz="0" w:space="0" w:color="auto"/>
            <w:bottom w:val="none" w:sz="0" w:space="0" w:color="auto"/>
            <w:right w:val="none" w:sz="0" w:space="0" w:color="auto"/>
          </w:divBdr>
        </w:div>
        <w:div w:id="60300146">
          <w:marLeft w:val="360"/>
          <w:marRight w:val="0"/>
          <w:marTop w:val="200"/>
          <w:marBottom w:val="0"/>
          <w:divBdr>
            <w:top w:val="none" w:sz="0" w:space="0" w:color="auto"/>
            <w:left w:val="none" w:sz="0" w:space="0" w:color="auto"/>
            <w:bottom w:val="none" w:sz="0" w:space="0" w:color="auto"/>
            <w:right w:val="none" w:sz="0" w:space="0" w:color="auto"/>
          </w:divBdr>
        </w:div>
        <w:div w:id="831482141">
          <w:marLeft w:val="360"/>
          <w:marRight w:val="0"/>
          <w:marTop w:val="200"/>
          <w:marBottom w:val="0"/>
          <w:divBdr>
            <w:top w:val="none" w:sz="0" w:space="0" w:color="auto"/>
            <w:left w:val="none" w:sz="0" w:space="0" w:color="auto"/>
            <w:bottom w:val="none" w:sz="0" w:space="0" w:color="auto"/>
            <w:right w:val="none" w:sz="0" w:space="0" w:color="auto"/>
          </w:divBdr>
        </w:div>
        <w:div w:id="1819758867">
          <w:marLeft w:val="360"/>
          <w:marRight w:val="0"/>
          <w:marTop w:val="200"/>
          <w:marBottom w:val="0"/>
          <w:divBdr>
            <w:top w:val="none" w:sz="0" w:space="0" w:color="auto"/>
            <w:left w:val="none" w:sz="0" w:space="0" w:color="auto"/>
            <w:bottom w:val="none" w:sz="0" w:space="0" w:color="auto"/>
            <w:right w:val="none" w:sz="0" w:space="0" w:color="auto"/>
          </w:divBdr>
        </w:div>
        <w:div w:id="341929791">
          <w:marLeft w:val="360"/>
          <w:marRight w:val="0"/>
          <w:marTop w:val="200"/>
          <w:marBottom w:val="0"/>
          <w:divBdr>
            <w:top w:val="none" w:sz="0" w:space="0" w:color="auto"/>
            <w:left w:val="none" w:sz="0" w:space="0" w:color="auto"/>
            <w:bottom w:val="none" w:sz="0" w:space="0" w:color="auto"/>
            <w:right w:val="none" w:sz="0" w:space="0" w:color="auto"/>
          </w:divBdr>
        </w:div>
        <w:div w:id="1450511750">
          <w:marLeft w:val="360"/>
          <w:marRight w:val="0"/>
          <w:marTop w:val="200"/>
          <w:marBottom w:val="0"/>
          <w:divBdr>
            <w:top w:val="none" w:sz="0" w:space="0" w:color="auto"/>
            <w:left w:val="none" w:sz="0" w:space="0" w:color="auto"/>
            <w:bottom w:val="none" w:sz="0" w:space="0" w:color="auto"/>
            <w:right w:val="none" w:sz="0" w:space="0" w:color="auto"/>
          </w:divBdr>
        </w:div>
        <w:div w:id="1315449065">
          <w:marLeft w:val="360"/>
          <w:marRight w:val="0"/>
          <w:marTop w:val="200"/>
          <w:marBottom w:val="0"/>
          <w:divBdr>
            <w:top w:val="none" w:sz="0" w:space="0" w:color="auto"/>
            <w:left w:val="none" w:sz="0" w:space="0" w:color="auto"/>
            <w:bottom w:val="none" w:sz="0" w:space="0" w:color="auto"/>
            <w:right w:val="none" w:sz="0" w:space="0" w:color="auto"/>
          </w:divBdr>
        </w:div>
      </w:divsChild>
    </w:div>
    <w:div w:id="322316903">
      <w:bodyDiv w:val="1"/>
      <w:marLeft w:val="0"/>
      <w:marRight w:val="0"/>
      <w:marTop w:val="0"/>
      <w:marBottom w:val="0"/>
      <w:divBdr>
        <w:top w:val="none" w:sz="0" w:space="0" w:color="auto"/>
        <w:left w:val="none" w:sz="0" w:space="0" w:color="auto"/>
        <w:bottom w:val="none" w:sz="0" w:space="0" w:color="auto"/>
        <w:right w:val="none" w:sz="0" w:space="0" w:color="auto"/>
      </w:divBdr>
    </w:div>
    <w:div w:id="390033258">
      <w:bodyDiv w:val="1"/>
      <w:marLeft w:val="0"/>
      <w:marRight w:val="0"/>
      <w:marTop w:val="0"/>
      <w:marBottom w:val="0"/>
      <w:divBdr>
        <w:top w:val="none" w:sz="0" w:space="0" w:color="auto"/>
        <w:left w:val="none" w:sz="0" w:space="0" w:color="auto"/>
        <w:bottom w:val="none" w:sz="0" w:space="0" w:color="auto"/>
        <w:right w:val="none" w:sz="0" w:space="0" w:color="auto"/>
      </w:divBdr>
      <w:divsChild>
        <w:div w:id="1259363793">
          <w:marLeft w:val="360"/>
          <w:marRight w:val="0"/>
          <w:marTop w:val="100"/>
          <w:marBottom w:val="0"/>
          <w:divBdr>
            <w:top w:val="none" w:sz="0" w:space="0" w:color="auto"/>
            <w:left w:val="none" w:sz="0" w:space="0" w:color="auto"/>
            <w:bottom w:val="none" w:sz="0" w:space="0" w:color="auto"/>
            <w:right w:val="none" w:sz="0" w:space="0" w:color="auto"/>
          </w:divBdr>
        </w:div>
        <w:div w:id="1045104106">
          <w:marLeft w:val="360"/>
          <w:marRight w:val="0"/>
          <w:marTop w:val="100"/>
          <w:marBottom w:val="0"/>
          <w:divBdr>
            <w:top w:val="none" w:sz="0" w:space="0" w:color="auto"/>
            <w:left w:val="none" w:sz="0" w:space="0" w:color="auto"/>
            <w:bottom w:val="none" w:sz="0" w:space="0" w:color="auto"/>
            <w:right w:val="none" w:sz="0" w:space="0" w:color="auto"/>
          </w:divBdr>
        </w:div>
        <w:div w:id="1735590969">
          <w:marLeft w:val="360"/>
          <w:marRight w:val="0"/>
          <w:marTop w:val="100"/>
          <w:marBottom w:val="0"/>
          <w:divBdr>
            <w:top w:val="none" w:sz="0" w:space="0" w:color="auto"/>
            <w:left w:val="none" w:sz="0" w:space="0" w:color="auto"/>
            <w:bottom w:val="none" w:sz="0" w:space="0" w:color="auto"/>
            <w:right w:val="none" w:sz="0" w:space="0" w:color="auto"/>
          </w:divBdr>
        </w:div>
        <w:div w:id="426001807">
          <w:marLeft w:val="360"/>
          <w:marRight w:val="0"/>
          <w:marTop w:val="100"/>
          <w:marBottom w:val="0"/>
          <w:divBdr>
            <w:top w:val="none" w:sz="0" w:space="0" w:color="auto"/>
            <w:left w:val="none" w:sz="0" w:space="0" w:color="auto"/>
            <w:bottom w:val="none" w:sz="0" w:space="0" w:color="auto"/>
            <w:right w:val="none" w:sz="0" w:space="0" w:color="auto"/>
          </w:divBdr>
        </w:div>
      </w:divsChild>
    </w:div>
    <w:div w:id="519201642">
      <w:bodyDiv w:val="1"/>
      <w:marLeft w:val="0"/>
      <w:marRight w:val="0"/>
      <w:marTop w:val="0"/>
      <w:marBottom w:val="0"/>
      <w:divBdr>
        <w:top w:val="none" w:sz="0" w:space="0" w:color="auto"/>
        <w:left w:val="none" w:sz="0" w:space="0" w:color="auto"/>
        <w:bottom w:val="none" w:sz="0" w:space="0" w:color="auto"/>
        <w:right w:val="none" w:sz="0" w:space="0" w:color="auto"/>
      </w:divBdr>
      <w:divsChild>
        <w:div w:id="34473344">
          <w:marLeft w:val="360"/>
          <w:marRight w:val="0"/>
          <w:marTop w:val="100"/>
          <w:marBottom w:val="0"/>
          <w:divBdr>
            <w:top w:val="none" w:sz="0" w:space="0" w:color="auto"/>
            <w:left w:val="none" w:sz="0" w:space="0" w:color="auto"/>
            <w:bottom w:val="none" w:sz="0" w:space="0" w:color="auto"/>
            <w:right w:val="none" w:sz="0" w:space="0" w:color="auto"/>
          </w:divBdr>
        </w:div>
        <w:div w:id="1789617150">
          <w:marLeft w:val="360"/>
          <w:marRight w:val="0"/>
          <w:marTop w:val="100"/>
          <w:marBottom w:val="0"/>
          <w:divBdr>
            <w:top w:val="none" w:sz="0" w:space="0" w:color="auto"/>
            <w:left w:val="none" w:sz="0" w:space="0" w:color="auto"/>
            <w:bottom w:val="none" w:sz="0" w:space="0" w:color="auto"/>
            <w:right w:val="none" w:sz="0" w:space="0" w:color="auto"/>
          </w:divBdr>
        </w:div>
        <w:div w:id="326906583">
          <w:marLeft w:val="360"/>
          <w:marRight w:val="0"/>
          <w:marTop w:val="100"/>
          <w:marBottom w:val="0"/>
          <w:divBdr>
            <w:top w:val="none" w:sz="0" w:space="0" w:color="auto"/>
            <w:left w:val="none" w:sz="0" w:space="0" w:color="auto"/>
            <w:bottom w:val="none" w:sz="0" w:space="0" w:color="auto"/>
            <w:right w:val="none" w:sz="0" w:space="0" w:color="auto"/>
          </w:divBdr>
        </w:div>
        <w:div w:id="2044595751">
          <w:marLeft w:val="360"/>
          <w:marRight w:val="0"/>
          <w:marTop w:val="100"/>
          <w:marBottom w:val="0"/>
          <w:divBdr>
            <w:top w:val="none" w:sz="0" w:space="0" w:color="auto"/>
            <w:left w:val="none" w:sz="0" w:space="0" w:color="auto"/>
            <w:bottom w:val="none" w:sz="0" w:space="0" w:color="auto"/>
            <w:right w:val="none" w:sz="0" w:space="0" w:color="auto"/>
          </w:divBdr>
        </w:div>
        <w:div w:id="48959805">
          <w:marLeft w:val="360"/>
          <w:marRight w:val="0"/>
          <w:marTop w:val="100"/>
          <w:marBottom w:val="0"/>
          <w:divBdr>
            <w:top w:val="none" w:sz="0" w:space="0" w:color="auto"/>
            <w:left w:val="none" w:sz="0" w:space="0" w:color="auto"/>
            <w:bottom w:val="none" w:sz="0" w:space="0" w:color="auto"/>
            <w:right w:val="none" w:sz="0" w:space="0" w:color="auto"/>
          </w:divBdr>
        </w:div>
        <w:div w:id="1319193444">
          <w:marLeft w:val="360"/>
          <w:marRight w:val="0"/>
          <w:marTop w:val="100"/>
          <w:marBottom w:val="0"/>
          <w:divBdr>
            <w:top w:val="none" w:sz="0" w:space="0" w:color="auto"/>
            <w:left w:val="none" w:sz="0" w:space="0" w:color="auto"/>
            <w:bottom w:val="none" w:sz="0" w:space="0" w:color="auto"/>
            <w:right w:val="none" w:sz="0" w:space="0" w:color="auto"/>
          </w:divBdr>
        </w:div>
        <w:div w:id="860435340">
          <w:marLeft w:val="360"/>
          <w:marRight w:val="0"/>
          <w:marTop w:val="100"/>
          <w:marBottom w:val="0"/>
          <w:divBdr>
            <w:top w:val="none" w:sz="0" w:space="0" w:color="auto"/>
            <w:left w:val="none" w:sz="0" w:space="0" w:color="auto"/>
            <w:bottom w:val="none" w:sz="0" w:space="0" w:color="auto"/>
            <w:right w:val="none" w:sz="0" w:space="0" w:color="auto"/>
          </w:divBdr>
        </w:div>
      </w:divsChild>
    </w:div>
    <w:div w:id="525870641">
      <w:bodyDiv w:val="1"/>
      <w:marLeft w:val="0"/>
      <w:marRight w:val="0"/>
      <w:marTop w:val="0"/>
      <w:marBottom w:val="0"/>
      <w:divBdr>
        <w:top w:val="none" w:sz="0" w:space="0" w:color="auto"/>
        <w:left w:val="none" w:sz="0" w:space="0" w:color="auto"/>
        <w:bottom w:val="none" w:sz="0" w:space="0" w:color="auto"/>
        <w:right w:val="none" w:sz="0" w:space="0" w:color="auto"/>
      </w:divBdr>
    </w:div>
    <w:div w:id="690958412">
      <w:bodyDiv w:val="1"/>
      <w:marLeft w:val="0"/>
      <w:marRight w:val="0"/>
      <w:marTop w:val="0"/>
      <w:marBottom w:val="0"/>
      <w:divBdr>
        <w:top w:val="none" w:sz="0" w:space="0" w:color="auto"/>
        <w:left w:val="none" w:sz="0" w:space="0" w:color="auto"/>
        <w:bottom w:val="none" w:sz="0" w:space="0" w:color="auto"/>
        <w:right w:val="none" w:sz="0" w:space="0" w:color="auto"/>
      </w:divBdr>
      <w:divsChild>
        <w:div w:id="409691278">
          <w:marLeft w:val="360"/>
          <w:marRight w:val="0"/>
          <w:marTop w:val="100"/>
          <w:marBottom w:val="0"/>
          <w:divBdr>
            <w:top w:val="none" w:sz="0" w:space="0" w:color="auto"/>
            <w:left w:val="none" w:sz="0" w:space="0" w:color="auto"/>
            <w:bottom w:val="none" w:sz="0" w:space="0" w:color="auto"/>
            <w:right w:val="none" w:sz="0" w:space="0" w:color="auto"/>
          </w:divBdr>
        </w:div>
        <w:div w:id="28458226">
          <w:marLeft w:val="360"/>
          <w:marRight w:val="0"/>
          <w:marTop w:val="200"/>
          <w:marBottom w:val="0"/>
          <w:divBdr>
            <w:top w:val="none" w:sz="0" w:space="0" w:color="auto"/>
            <w:left w:val="none" w:sz="0" w:space="0" w:color="auto"/>
            <w:bottom w:val="none" w:sz="0" w:space="0" w:color="auto"/>
            <w:right w:val="none" w:sz="0" w:space="0" w:color="auto"/>
          </w:divBdr>
        </w:div>
      </w:divsChild>
    </w:div>
    <w:div w:id="724333195">
      <w:bodyDiv w:val="1"/>
      <w:marLeft w:val="0"/>
      <w:marRight w:val="0"/>
      <w:marTop w:val="0"/>
      <w:marBottom w:val="0"/>
      <w:divBdr>
        <w:top w:val="none" w:sz="0" w:space="0" w:color="auto"/>
        <w:left w:val="none" w:sz="0" w:space="0" w:color="auto"/>
        <w:bottom w:val="none" w:sz="0" w:space="0" w:color="auto"/>
        <w:right w:val="none" w:sz="0" w:space="0" w:color="auto"/>
      </w:divBdr>
    </w:div>
    <w:div w:id="741028048">
      <w:bodyDiv w:val="1"/>
      <w:marLeft w:val="0"/>
      <w:marRight w:val="0"/>
      <w:marTop w:val="0"/>
      <w:marBottom w:val="0"/>
      <w:divBdr>
        <w:top w:val="none" w:sz="0" w:space="0" w:color="auto"/>
        <w:left w:val="none" w:sz="0" w:space="0" w:color="auto"/>
        <w:bottom w:val="none" w:sz="0" w:space="0" w:color="auto"/>
        <w:right w:val="none" w:sz="0" w:space="0" w:color="auto"/>
      </w:divBdr>
    </w:div>
    <w:div w:id="781457362">
      <w:bodyDiv w:val="1"/>
      <w:marLeft w:val="0"/>
      <w:marRight w:val="0"/>
      <w:marTop w:val="0"/>
      <w:marBottom w:val="0"/>
      <w:divBdr>
        <w:top w:val="none" w:sz="0" w:space="0" w:color="auto"/>
        <w:left w:val="none" w:sz="0" w:space="0" w:color="auto"/>
        <w:bottom w:val="none" w:sz="0" w:space="0" w:color="auto"/>
        <w:right w:val="none" w:sz="0" w:space="0" w:color="auto"/>
      </w:divBdr>
    </w:div>
    <w:div w:id="849759178">
      <w:bodyDiv w:val="1"/>
      <w:marLeft w:val="0"/>
      <w:marRight w:val="0"/>
      <w:marTop w:val="0"/>
      <w:marBottom w:val="0"/>
      <w:divBdr>
        <w:top w:val="none" w:sz="0" w:space="0" w:color="auto"/>
        <w:left w:val="none" w:sz="0" w:space="0" w:color="auto"/>
        <w:bottom w:val="none" w:sz="0" w:space="0" w:color="auto"/>
        <w:right w:val="none" w:sz="0" w:space="0" w:color="auto"/>
      </w:divBdr>
      <w:divsChild>
        <w:div w:id="591202272">
          <w:marLeft w:val="547"/>
          <w:marRight w:val="0"/>
          <w:marTop w:val="0"/>
          <w:marBottom w:val="0"/>
          <w:divBdr>
            <w:top w:val="none" w:sz="0" w:space="0" w:color="auto"/>
            <w:left w:val="none" w:sz="0" w:space="0" w:color="auto"/>
            <w:bottom w:val="none" w:sz="0" w:space="0" w:color="auto"/>
            <w:right w:val="none" w:sz="0" w:space="0" w:color="auto"/>
          </w:divBdr>
        </w:div>
      </w:divsChild>
    </w:div>
    <w:div w:id="924724812">
      <w:bodyDiv w:val="1"/>
      <w:marLeft w:val="0"/>
      <w:marRight w:val="0"/>
      <w:marTop w:val="0"/>
      <w:marBottom w:val="0"/>
      <w:divBdr>
        <w:top w:val="none" w:sz="0" w:space="0" w:color="auto"/>
        <w:left w:val="none" w:sz="0" w:space="0" w:color="auto"/>
        <w:bottom w:val="none" w:sz="0" w:space="0" w:color="auto"/>
        <w:right w:val="none" w:sz="0" w:space="0" w:color="auto"/>
      </w:divBdr>
      <w:divsChild>
        <w:div w:id="1129081526">
          <w:marLeft w:val="360"/>
          <w:marRight w:val="0"/>
          <w:marTop w:val="100"/>
          <w:marBottom w:val="0"/>
          <w:divBdr>
            <w:top w:val="none" w:sz="0" w:space="0" w:color="auto"/>
            <w:left w:val="none" w:sz="0" w:space="0" w:color="auto"/>
            <w:bottom w:val="none" w:sz="0" w:space="0" w:color="auto"/>
            <w:right w:val="none" w:sz="0" w:space="0" w:color="auto"/>
          </w:divBdr>
        </w:div>
        <w:div w:id="764887753">
          <w:marLeft w:val="360"/>
          <w:marRight w:val="0"/>
          <w:marTop w:val="200"/>
          <w:marBottom w:val="0"/>
          <w:divBdr>
            <w:top w:val="none" w:sz="0" w:space="0" w:color="auto"/>
            <w:left w:val="none" w:sz="0" w:space="0" w:color="auto"/>
            <w:bottom w:val="none" w:sz="0" w:space="0" w:color="auto"/>
            <w:right w:val="none" w:sz="0" w:space="0" w:color="auto"/>
          </w:divBdr>
        </w:div>
      </w:divsChild>
    </w:div>
    <w:div w:id="947740428">
      <w:bodyDiv w:val="1"/>
      <w:marLeft w:val="0"/>
      <w:marRight w:val="0"/>
      <w:marTop w:val="0"/>
      <w:marBottom w:val="0"/>
      <w:divBdr>
        <w:top w:val="none" w:sz="0" w:space="0" w:color="auto"/>
        <w:left w:val="none" w:sz="0" w:space="0" w:color="auto"/>
        <w:bottom w:val="none" w:sz="0" w:space="0" w:color="auto"/>
        <w:right w:val="none" w:sz="0" w:space="0" w:color="auto"/>
      </w:divBdr>
    </w:div>
    <w:div w:id="1174495179">
      <w:bodyDiv w:val="1"/>
      <w:marLeft w:val="0"/>
      <w:marRight w:val="0"/>
      <w:marTop w:val="0"/>
      <w:marBottom w:val="0"/>
      <w:divBdr>
        <w:top w:val="none" w:sz="0" w:space="0" w:color="auto"/>
        <w:left w:val="none" w:sz="0" w:space="0" w:color="auto"/>
        <w:bottom w:val="none" w:sz="0" w:space="0" w:color="auto"/>
        <w:right w:val="none" w:sz="0" w:space="0" w:color="auto"/>
      </w:divBdr>
      <w:divsChild>
        <w:div w:id="1675953904">
          <w:marLeft w:val="360"/>
          <w:marRight w:val="0"/>
          <w:marTop w:val="100"/>
          <w:marBottom w:val="0"/>
          <w:divBdr>
            <w:top w:val="none" w:sz="0" w:space="0" w:color="auto"/>
            <w:left w:val="none" w:sz="0" w:space="0" w:color="auto"/>
            <w:bottom w:val="none" w:sz="0" w:space="0" w:color="auto"/>
            <w:right w:val="none" w:sz="0" w:space="0" w:color="auto"/>
          </w:divBdr>
        </w:div>
        <w:div w:id="716204302">
          <w:marLeft w:val="360"/>
          <w:marRight w:val="0"/>
          <w:marTop w:val="100"/>
          <w:marBottom w:val="0"/>
          <w:divBdr>
            <w:top w:val="none" w:sz="0" w:space="0" w:color="auto"/>
            <w:left w:val="none" w:sz="0" w:space="0" w:color="auto"/>
            <w:bottom w:val="none" w:sz="0" w:space="0" w:color="auto"/>
            <w:right w:val="none" w:sz="0" w:space="0" w:color="auto"/>
          </w:divBdr>
        </w:div>
        <w:div w:id="938563484">
          <w:marLeft w:val="360"/>
          <w:marRight w:val="0"/>
          <w:marTop w:val="100"/>
          <w:marBottom w:val="0"/>
          <w:divBdr>
            <w:top w:val="none" w:sz="0" w:space="0" w:color="auto"/>
            <w:left w:val="none" w:sz="0" w:space="0" w:color="auto"/>
            <w:bottom w:val="none" w:sz="0" w:space="0" w:color="auto"/>
            <w:right w:val="none" w:sz="0" w:space="0" w:color="auto"/>
          </w:divBdr>
        </w:div>
        <w:div w:id="1223253587">
          <w:marLeft w:val="360"/>
          <w:marRight w:val="0"/>
          <w:marTop w:val="100"/>
          <w:marBottom w:val="0"/>
          <w:divBdr>
            <w:top w:val="none" w:sz="0" w:space="0" w:color="auto"/>
            <w:left w:val="none" w:sz="0" w:space="0" w:color="auto"/>
            <w:bottom w:val="none" w:sz="0" w:space="0" w:color="auto"/>
            <w:right w:val="none" w:sz="0" w:space="0" w:color="auto"/>
          </w:divBdr>
        </w:div>
      </w:divsChild>
    </w:div>
    <w:div w:id="1204828459">
      <w:bodyDiv w:val="1"/>
      <w:marLeft w:val="0"/>
      <w:marRight w:val="0"/>
      <w:marTop w:val="0"/>
      <w:marBottom w:val="0"/>
      <w:divBdr>
        <w:top w:val="none" w:sz="0" w:space="0" w:color="auto"/>
        <w:left w:val="none" w:sz="0" w:space="0" w:color="auto"/>
        <w:bottom w:val="none" w:sz="0" w:space="0" w:color="auto"/>
        <w:right w:val="none" w:sz="0" w:space="0" w:color="auto"/>
      </w:divBdr>
    </w:div>
    <w:div w:id="1256403264">
      <w:bodyDiv w:val="1"/>
      <w:marLeft w:val="0"/>
      <w:marRight w:val="0"/>
      <w:marTop w:val="0"/>
      <w:marBottom w:val="0"/>
      <w:divBdr>
        <w:top w:val="none" w:sz="0" w:space="0" w:color="auto"/>
        <w:left w:val="none" w:sz="0" w:space="0" w:color="auto"/>
        <w:bottom w:val="none" w:sz="0" w:space="0" w:color="auto"/>
        <w:right w:val="none" w:sz="0" w:space="0" w:color="auto"/>
      </w:divBdr>
      <w:divsChild>
        <w:div w:id="1390348965">
          <w:marLeft w:val="360"/>
          <w:marRight w:val="0"/>
          <w:marTop w:val="200"/>
          <w:marBottom w:val="0"/>
          <w:divBdr>
            <w:top w:val="none" w:sz="0" w:space="0" w:color="auto"/>
            <w:left w:val="none" w:sz="0" w:space="0" w:color="auto"/>
            <w:bottom w:val="none" w:sz="0" w:space="0" w:color="auto"/>
            <w:right w:val="none" w:sz="0" w:space="0" w:color="auto"/>
          </w:divBdr>
        </w:div>
        <w:div w:id="1324897053">
          <w:marLeft w:val="360"/>
          <w:marRight w:val="0"/>
          <w:marTop w:val="200"/>
          <w:marBottom w:val="0"/>
          <w:divBdr>
            <w:top w:val="none" w:sz="0" w:space="0" w:color="auto"/>
            <w:left w:val="none" w:sz="0" w:space="0" w:color="auto"/>
            <w:bottom w:val="none" w:sz="0" w:space="0" w:color="auto"/>
            <w:right w:val="none" w:sz="0" w:space="0" w:color="auto"/>
          </w:divBdr>
        </w:div>
        <w:div w:id="967509972">
          <w:marLeft w:val="360"/>
          <w:marRight w:val="0"/>
          <w:marTop w:val="200"/>
          <w:marBottom w:val="0"/>
          <w:divBdr>
            <w:top w:val="none" w:sz="0" w:space="0" w:color="auto"/>
            <w:left w:val="none" w:sz="0" w:space="0" w:color="auto"/>
            <w:bottom w:val="none" w:sz="0" w:space="0" w:color="auto"/>
            <w:right w:val="none" w:sz="0" w:space="0" w:color="auto"/>
          </w:divBdr>
        </w:div>
        <w:div w:id="1836604295">
          <w:marLeft w:val="360"/>
          <w:marRight w:val="0"/>
          <w:marTop w:val="200"/>
          <w:marBottom w:val="0"/>
          <w:divBdr>
            <w:top w:val="none" w:sz="0" w:space="0" w:color="auto"/>
            <w:left w:val="none" w:sz="0" w:space="0" w:color="auto"/>
            <w:bottom w:val="none" w:sz="0" w:space="0" w:color="auto"/>
            <w:right w:val="none" w:sz="0" w:space="0" w:color="auto"/>
          </w:divBdr>
        </w:div>
        <w:div w:id="1228419199">
          <w:marLeft w:val="360"/>
          <w:marRight w:val="0"/>
          <w:marTop w:val="200"/>
          <w:marBottom w:val="0"/>
          <w:divBdr>
            <w:top w:val="none" w:sz="0" w:space="0" w:color="auto"/>
            <w:left w:val="none" w:sz="0" w:space="0" w:color="auto"/>
            <w:bottom w:val="none" w:sz="0" w:space="0" w:color="auto"/>
            <w:right w:val="none" w:sz="0" w:space="0" w:color="auto"/>
          </w:divBdr>
        </w:div>
        <w:div w:id="1381393634">
          <w:marLeft w:val="360"/>
          <w:marRight w:val="0"/>
          <w:marTop w:val="200"/>
          <w:marBottom w:val="0"/>
          <w:divBdr>
            <w:top w:val="none" w:sz="0" w:space="0" w:color="auto"/>
            <w:left w:val="none" w:sz="0" w:space="0" w:color="auto"/>
            <w:bottom w:val="none" w:sz="0" w:space="0" w:color="auto"/>
            <w:right w:val="none" w:sz="0" w:space="0" w:color="auto"/>
          </w:divBdr>
        </w:div>
        <w:div w:id="2066946689">
          <w:marLeft w:val="360"/>
          <w:marRight w:val="0"/>
          <w:marTop w:val="200"/>
          <w:marBottom w:val="0"/>
          <w:divBdr>
            <w:top w:val="none" w:sz="0" w:space="0" w:color="auto"/>
            <w:left w:val="none" w:sz="0" w:space="0" w:color="auto"/>
            <w:bottom w:val="none" w:sz="0" w:space="0" w:color="auto"/>
            <w:right w:val="none" w:sz="0" w:space="0" w:color="auto"/>
          </w:divBdr>
        </w:div>
        <w:div w:id="1915776947">
          <w:marLeft w:val="360"/>
          <w:marRight w:val="0"/>
          <w:marTop w:val="200"/>
          <w:marBottom w:val="0"/>
          <w:divBdr>
            <w:top w:val="none" w:sz="0" w:space="0" w:color="auto"/>
            <w:left w:val="none" w:sz="0" w:space="0" w:color="auto"/>
            <w:bottom w:val="none" w:sz="0" w:space="0" w:color="auto"/>
            <w:right w:val="none" w:sz="0" w:space="0" w:color="auto"/>
          </w:divBdr>
        </w:div>
      </w:divsChild>
    </w:div>
    <w:div w:id="1258826919">
      <w:bodyDiv w:val="1"/>
      <w:marLeft w:val="0"/>
      <w:marRight w:val="0"/>
      <w:marTop w:val="0"/>
      <w:marBottom w:val="0"/>
      <w:divBdr>
        <w:top w:val="none" w:sz="0" w:space="0" w:color="auto"/>
        <w:left w:val="none" w:sz="0" w:space="0" w:color="auto"/>
        <w:bottom w:val="none" w:sz="0" w:space="0" w:color="auto"/>
        <w:right w:val="none" w:sz="0" w:space="0" w:color="auto"/>
      </w:divBdr>
      <w:divsChild>
        <w:div w:id="1968120037">
          <w:marLeft w:val="360"/>
          <w:marRight w:val="0"/>
          <w:marTop w:val="200"/>
          <w:marBottom w:val="0"/>
          <w:divBdr>
            <w:top w:val="none" w:sz="0" w:space="0" w:color="auto"/>
            <w:left w:val="none" w:sz="0" w:space="0" w:color="auto"/>
            <w:bottom w:val="none" w:sz="0" w:space="0" w:color="auto"/>
            <w:right w:val="none" w:sz="0" w:space="0" w:color="auto"/>
          </w:divBdr>
        </w:div>
        <w:div w:id="1587108827">
          <w:marLeft w:val="360"/>
          <w:marRight w:val="0"/>
          <w:marTop w:val="200"/>
          <w:marBottom w:val="0"/>
          <w:divBdr>
            <w:top w:val="none" w:sz="0" w:space="0" w:color="auto"/>
            <w:left w:val="none" w:sz="0" w:space="0" w:color="auto"/>
            <w:bottom w:val="none" w:sz="0" w:space="0" w:color="auto"/>
            <w:right w:val="none" w:sz="0" w:space="0" w:color="auto"/>
          </w:divBdr>
        </w:div>
        <w:div w:id="223757077">
          <w:marLeft w:val="360"/>
          <w:marRight w:val="0"/>
          <w:marTop w:val="200"/>
          <w:marBottom w:val="0"/>
          <w:divBdr>
            <w:top w:val="none" w:sz="0" w:space="0" w:color="auto"/>
            <w:left w:val="none" w:sz="0" w:space="0" w:color="auto"/>
            <w:bottom w:val="none" w:sz="0" w:space="0" w:color="auto"/>
            <w:right w:val="none" w:sz="0" w:space="0" w:color="auto"/>
          </w:divBdr>
        </w:div>
        <w:div w:id="1219122677">
          <w:marLeft w:val="360"/>
          <w:marRight w:val="0"/>
          <w:marTop w:val="200"/>
          <w:marBottom w:val="0"/>
          <w:divBdr>
            <w:top w:val="none" w:sz="0" w:space="0" w:color="auto"/>
            <w:left w:val="none" w:sz="0" w:space="0" w:color="auto"/>
            <w:bottom w:val="none" w:sz="0" w:space="0" w:color="auto"/>
            <w:right w:val="none" w:sz="0" w:space="0" w:color="auto"/>
          </w:divBdr>
        </w:div>
      </w:divsChild>
    </w:div>
    <w:div w:id="1286041093">
      <w:bodyDiv w:val="1"/>
      <w:marLeft w:val="0"/>
      <w:marRight w:val="0"/>
      <w:marTop w:val="0"/>
      <w:marBottom w:val="0"/>
      <w:divBdr>
        <w:top w:val="none" w:sz="0" w:space="0" w:color="auto"/>
        <w:left w:val="none" w:sz="0" w:space="0" w:color="auto"/>
        <w:bottom w:val="none" w:sz="0" w:space="0" w:color="auto"/>
        <w:right w:val="none" w:sz="0" w:space="0" w:color="auto"/>
      </w:divBdr>
      <w:divsChild>
        <w:div w:id="292904271">
          <w:marLeft w:val="360"/>
          <w:marRight w:val="0"/>
          <w:marTop w:val="200"/>
          <w:marBottom w:val="0"/>
          <w:divBdr>
            <w:top w:val="none" w:sz="0" w:space="0" w:color="auto"/>
            <w:left w:val="none" w:sz="0" w:space="0" w:color="auto"/>
            <w:bottom w:val="none" w:sz="0" w:space="0" w:color="auto"/>
            <w:right w:val="none" w:sz="0" w:space="0" w:color="auto"/>
          </w:divBdr>
        </w:div>
        <w:div w:id="1302466452">
          <w:marLeft w:val="360"/>
          <w:marRight w:val="0"/>
          <w:marTop w:val="200"/>
          <w:marBottom w:val="0"/>
          <w:divBdr>
            <w:top w:val="none" w:sz="0" w:space="0" w:color="auto"/>
            <w:left w:val="none" w:sz="0" w:space="0" w:color="auto"/>
            <w:bottom w:val="none" w:sz="0" w:space="0" w:color="auto"/>
            <w:right w:val="none" w:sz="0" w:space="0" w:color="auto"/>
          </w:divBdr>
        </w:div>
        <w:div w:id="1066101919">
          <w:marLeft w:val="360"/>
          <w:marRight w:val="0"/>
          <w:marTop w:val="200"/>
          <w:marBottom w:val="0"/>
          <w:divBdr>
            <w:top w:val="none" w:sz="0" w:space="0" w:color="auto"/>
            <w:left w:val="none" w:sz="0" w:space="0" w:color="auto"/>
            <w:bottom w:val="none" w:sz="0" w:space="0" w:color="auto"/>
            <w:right w:val="none" w:sz="0" w:space="0" w:color="auto"/>
          </w:divBdr>
        </w:div>
        <w:div w:id="514542382">
          <w:marLeft w:val="360"/>
          <w:marRight w:val="0"/>
          <w:marTop w:val="200"/>
          <w:marBottom w:val="0"/>
          <w:divBdr>
            <w:top w:val="none" w:sz="0" w:space="0" w:color="auto"/>
            <w:left w:val="none" w:sz="0" w:space="0" w:color="auto"/>
            <w:bottom w:val="none" w:sz="0" w:space="0" w:color="auto"/>
            <w:right w:val="none" w:sz="0" w:space="0" w:color="auto"/>
          </w:divBdr>
        </w:div>
      </w:divsChild>
    </w:div>
    <w:div w:id="1301765431">
      <w:bodyDiv w:val="1"/>
      <w:marLeft w:val="0"/>
      <w:marRight w:val="0"/>
      <w:marTop w:val="0"/>
      <w:marBottom w:val="0"/>
      <w:divBdr>
        <w:top w:val="none" w:sz="0" w:space="0" w:color="auto"/>
        <w:left w:val="none" w:sz="0" w:space="0" w:color="auto"/>
        <w:bottom w:val="none" w:sz="0" w:space="0" w:color="auto"/>
        <w:right w:val="none" w:sz="0" w:space="0" w:color="auto"/>
      </w:divBdr>
    </w:div>
    <w:div w:id="1393774754">
      <w:bodyDiv w:val="1"/>
      <w:marLeft w:val="0"/>
      <w:marRight w:val="0"/>
      <w:marTop w:val="0"/>
      <w:marBottom w:val="0"/>
      <w:divBdr>
        <w:top w:val="none" w:sz="0" w:space="0" w:color="auto"/>
        <w:left w:val="none" w:sz="0" w:space="0" w:color="auto"/>
        <w:bottom w:val="none" w:sz="0" w:space="0" w:color="auto"/>
        <w:right w:val="none" w:sz="0" w:space="0" w:color="auto"/>
      </w:divBdr>
    </w:div>
    <w:div w:id="1439442940">
      <w:bodyDiv w:val="1"/>
      <w:marLeft w:val="0"/>
      <w:marRight w:val="0"/>
      <w:marTop w:val="0"/>
      <w:marBottom w:val="0"/>
      <w:divBdr>
        <w:top w:val="none" w:sz="0" w:space="0" w:color="auto"/>
        <w:left w:val="none" w:sz="0" w:space="0" w:color="auto"/>
        <w:bottom w:val="none" w:sz="0" w:space="0" w:color="auto"/>
        <w:right w:val="none" w:sz="0" w:space="0" w:color="auto"/>
      </w:divBdr>
      <w:divsChild>
        <w:div w:id="932936150">
          <w:marLeft w:val="360"/>
          <w:marRight w:val="0"/>
          <w:marTop w:val="100"/>
          <w:marBottom w:val="0"/>
          <w:divBdr>
            <w:top w:val="none" w:sz="0" w:space="0" w:color="auto"/>
            <w:left w:val="none" w:sz="0" w:space="0" w:color="auto"/>
            <w:bottom w:val="none" w:sz="0" w:space="0" w:color="auto"/>
            <w:right w:val="none" w:sz="0" w:space="0" w:color="auto"/>
          </w:divBdr>
        </w:div>
        <w:div w:id="964039856">
          <w:marLeft w:val="360"/>
          <w:marRight w:val="0"/>
          <w:marTop w:val="100"/>
          <w:marBottom w:val="0"/>
          <w:divBdr>
            <w:top w:val="none" w:sz="0" w:space="0" w:color="auto"/>
            <w:left w:val="none" w:sz="0" w:space="0" w:color="auto"/>
            <w:bottom w:val="none" w:sz="0" w:space="0" w:color="auto"/>
            <w:right w:val="none" w:sz="0" w:space="0" w:color="auto"/>
          </w:divBdr>
        </w:div>
        <w:div w:id="477067290">
          <w:marLeft w:val="360"/>
          <w:marRight w:val="0"/>
          <w:marTop w:val="100"/>
          <w:marBottom w:val="0"/>
          <w:divBdr>
            <w:top w:val="none" w:sz="0" w:space="0" w:color="auto"/>
            <w:left w:val="none" w:sz="0" w:space="0" w:color="auto"/>
            <w:bottom w:val="none" w:sz="0" w:space="0" w:color="auto"/>
            <w:right w:val="none" w:sz="0" w:space="0" w:color="auto"/>
          </w:divBdr>
        </w:div>
        <w:div w:id="979922979">
          <w:marLeft w:val="360"/>
          <w:marRight w:val="0"/>
          <w:marTop w:val="100"/>
          <w:marBottom w:val="0"/>
          <w:divBdr>
            <w:top w:val="none" w:sz="0" w:space="0" w:color="auto"/>
            <w:left w:val="none" w:sz="0" w:space="0" w:color="auto"/>
            <w:bottom w:val="none" w:sz="0" w:space="0" w:color="auto"/>
            <w:right w:val="none" w:sz="0" w:space="0" w:color="auto"/>
          </w:divBdr>
        </w:div>
        <w:div w:id="8528178">
          <w:marLeft w:val="360"/>
          <w:marRight w:val="0"/>
          <w:marTop w:val="100"/>
          <w:marBottom w:val="0"/>
          <w:divBdr>
            <w:top w:val="none" w:sz="0" w:space="0" w:color="auto"/>
            <w:left w:val="none" w:sz="0" w:space="0" w:color="auto"/>
            <w:bottom w:val="none" w:sz="0" w:space="0" w:color="auto"/>
            <w:right w:val="none" w:sz="0" w:space="0" w:color="auto"/>
          </w:divBdr>
        </w:div>
        <w:div w:id="1459834773">
          <w:marLeft w:val="360"/>
          <w:marRight w:val="0"/>
          <w:marTop w:val="100"/>
          <w:marBottom w:val="0"/>
          <w:divBdr>
            <w:top w:val="none" w:sz="0" w:space="0" w:color="auto"/>
            <w:left w:val="none" w:sz="0" w:space="0" w:color="auto"/>
            <w:bottom w:val="none" w:sz="0" w:space="0" w:color="auto"/>
            <w:right w:val="none" w:sz="0" w:space="0" w:color="auto"/>
          </w:divBdr>
        </w:div>
        <w:div w:id="1174996197">
          <w:marLeft w:val="360"/>
          <w:marRight w:val="0"/>
          <w:marTop w:val="100"/>
          <w:marBottom w:val="0"/>
          <w:divBdr>
            <w:top w:val="none" w:sz="0" w:space="0" w:color="auto"/>
            <w:left w:val="none" w:sz="0" w:space="0" w:color="auto"/>
            <w:bottom w:val="none" w:sz="0" w:space="0" w:color="auto"/>
            <w:right w:val="none" w:sz="0" w:space="0" w:color="auto"/>
          </w:divBdr>
        </w:div>
      </w:divsChild>
    </w:div>
    <w:div w:id="1476869903">
      <w:bodyDiv w:val="1"/>
      <w:marLeft w:val="0"/>
      <w:marRight w:val="0"/>
      <w:marTop w:val="0"/>
      <w:marBottom w:val="0"/>
      <w:divBdr>
        <w:top w:val="none" w:sz="0" w:space="0" w:color="auto"/>
        <w:left w:val="none" w:sz="0" w:space="0" w:color="auto"/>
        <w:bottom w:val="none" w:sz="0" w:space="0" w:color="auto"/>
        <w:right w:val="none" w:sz="0" w:space="0" w:color="auto"/>
      </w:divBdr>
      <w:divsChild>
        <w:div w:id="2026206219">
          <w:marLeft w:val="360"/>
          <w:marRight w:val="0"/>
          <w:marTop w:val="200"/>
          <w:marBottom w:val="0"/>
          <w:divBdr>
            <w:top w:val="none" w:sz="0" w:space="0" w:color="auto"/>
            <w:left w:val="none" w:sz="0" w:space="0" w:color="auto"/>
            <w:bottom w:val="none" w:sz="0" w:space="0" w:color="auto"/>
            <w:right w:val="none" w:sz="0" w:space="0" w:color="auto"/>
          </w:divBdr>
        </w:div>
        <w:div w:id="1755470701">
          <w:marLeft w:val="360"/>
          <w:marRight w:val="0"/>
          <w:marTop w:val="200"/>
          <w:marBottom w:val="0"/>
          <w:divBdr>
            <w:top w:val="none" w:sz="0" w:space="0" w:color="auto"/>
            <w:left w:val="none" w:sz="0" w:space="0" w:color="auto"/>
            <w:bottom w:val="none" w:sz="0" w:space="0" w:color="auto"/>
            <w:right w:val="none" w:sz="0" w:space="0" w:color="auto"/>
          </w:divBdr>
        </w:div>
        <w:div w:id="1157458053">
          <w:marLeft w:val="360"/>
          <w:marRight w:val="0"/>
          <w:marTop w:val="200"/>
          <w:marBottom w:val="0"/>
          <w:divBdr>
            <w:top w:val="none" w:sz="0" w:space="0" w:color="auto"/>
            <w:left w:val="none" w:sz="0" w:space="0" w:color="auto"/>
            <w:bottom w:val="none" w:sz="0" w:space="0" w:color="auto"/>
            <w:right w:val="none" w:sz="0" w:space="0" w:color="auto"/>
          </w:divBdr>
        </w:div>
      </w:divsChild>
    </w:div>
    <w:div w:id="1562011958">
      <w:bodyDiv w:val="1"/>
      <w:marLeft w:val="0"/>
      <w:marRight w:val="0"/>
      <w:marTop w:val="0"/>
      <w:marBottom w:val="0"/>
      <w:divBdr>
        <w:top w:val="none" w:sz="0" w:space="0" w:color="auto"/>
        <w:left w:val="none" w:sz="0" w:space="0" w:color="auto"/>
        <w:bottom w:val="none" w:sz="0" w:space="0" w:color="auto"/>
        <w:right w:val="none" w:sz="0" w:space="0" w:color="auto"/>
      </w:divBdr>
      <w:divsChild>
        <w:div w:id="397679188">
          <w:marLeft w:val="360"/>
          <w:marRight w:val="0"/>
          <w:marTop w:val="100"/>
          <w:marBottom w:val="0"/>
          <w:divBdr>
            <w:top w:val="none" w:sz="0" w:space="0" w:color="auto"/>
            <w:left w:val="none" w:sz="0" w:space="0" w:color="auto"/>
            <w:bottom w:val="none" w:sz="0" w:space="0" w:color="auto"/>
            <w:right w:val="none" w:sz="0" w:space="0" w:color="auto"/>
          </w:divBdr>
        </w:div>
        <w:div w:id="611713407">
          <w:marLeft w:val="360"/>
          <w:marRight w:val="0"/>
          <w:marTop w:val="100"/>
          <w:marBottom w:val="0"/>
          <w:divBdr>
            <w:top w:val="none" w:sz="0" w:space="0" w:color="auto"/>
            <w:left w:val="none" w:sz="0" w:space="0" w:color="auto"/>
            <w:bottom w:val="none" w:sz="0" w:space="0" w:color="auto"/>
            <w:right w:val="none" w:sz="0" w:space="0" w:color="auto"/>
          </w:divBdr>
        </w:div>
        <w:div w:id="1000084391">
          <w:marLeft w:val="360"/>
          <w:marRight w:val="0"/>
          <w:marTop w:val="100"/>
          <w:marBottom w:val="0"/>
          <w:divBdr>
            <w:top w:val="none" w:sz="0" w:space="0" w:color="auto"/>
            <w:left w:val="none" w:sz="0" w:space="0" w:color="auto"/>
            <w:bottom w:val="none" w:sz="0" w:space="0" w:color="auto"/>
            <w:right w:val="none" w:sz="0" w:space="0" w:color="auto"/>
          </w:divBdr>
        </w:div>
        <w:div w:id="1118454670">
          <w:marLeft w:val="360"/>
          <w:marRight w:val="0"/>
          <w:marTop w:val="100"/>
          <w:marBottom w:val="0"/>
          <w:divBdr>
            <w:top w:val="none" w:sz="0" w:space="0" w:color="auto"/>
            <w:left w:val="none" w:sz="0" w:space="0" w:color="auto"/>
            <w:bottom w:val="none" w:sz="0" w:space="0" w:color="auto"/>
            <w:right w:val="none" w:sz="0" w:space="0" w:color="auto"/>
          </w:divBdr>
        </w:div>
        <w:div w:id="2082409108">
          <w:marLeft w:val="360"/>
          <w:marRight w:val="0"/>
          <w:marTop w:val="100"/>
          <w:marBottom w:val="0"/>
          <w:divBdr>
            <w:top w:val="none" w:sz="0" w:space="0" w:color="auto"/>
            <w:left w:val="none" w:sz="0" w:space="0" w:color="auto"/>
            <w:bottom w:val="none" w:sz="0" w:space="0" w:color="auto"/>
            <w:right w:val="none" w:sz="0" w:space="0" w:color="auto"/>
          </w:divBdr>
        </w:div>
        <w:div w:id="37629979">
          <w:marLeft w:val="360"/>
          <w:marRight w:val="0"/>
          <w:marTop w:val="100"/>
          <w:marBottom w:val="0"/>
          <w:divBdr>
            <w:top w:val="none" w:sz="0" w:space="0" w:color="auto"/>
            <w:left w:val="none" w:sz="0" w:space="0" w:color="auto"/>
            <w:bottom w:val="none" w:sz="0" w:space="0" w:color="auto"/>
            <w:right w:val="none" w:sz="0" w:space="0" w:color="auto"/>
          </w:divBdr>
        </w:div>
        <w:div w:id="2029484667">
          <w:marLeft w:val="360"/>
          <w:marRight w:val="0"/>
          <w:marTop w:val="100"/>
          <w:marBottom w:val="0"/>
          <w:divBdr>
            <w:top w:val="none" w:sz="0" w:space="0" w:color="auto"/>
            <w:left w:val="none" w:sz="0" w:space="0" w:color="auto"/>
            <w:bottom w:val="none" w:sz="0" w:space="0" w:color="auto"/>
            <w:right w:val="none" w:sz="0" w:space="0" w:color="auto"/>
          </w:divBdr>
        </w:div>
      </w:divsChild>
    </w:div>
    <w:div w:id="1574199049">
      <w:bodyDiv w:val="1"/>
      <w:marLeft w:val="0"/>
      <w:marRight w:val="0"/>
      <w:marTop w:val="0"/>
      <w:marBottom w:val="0"/>
      <w:divBdr>
        <w:top w:val="none" w:sz="0" w:space="0" w:color="auto"/>
        <w:left w:val="none" w:sz="0" w:space="0" w:color="auto"/>
        <w:bottom w:val="none" w:sz="0" w:space="0" w:color="auto"/>
        <w:right w:val="none" w:sz="0" w:space="0" w:color="auto"/>
      </w:divBdr>
    </w:div>
    <w:div w:id="1581480299">
      <w:bodyDiv w:val="1"/>
      <w:marLeft w:val="0"/>
      <w:marRight w:val="0"/>
      <w:marTop w:val="0"/>
      <w:marBottom w:val="0"/>
      <w:divBdr>
        <w:top w:val="none" w:sz="0" w:space="0" w:color="auto"/>
        <w:left w:val="none" w:sz="0" w:space="0" w:color="auto"/>
        <w:bottom w:val="none" w:sz="0" w:space="0" w:color="auto"/>
        <w:right w:val="none" w:sz="0" w:space="0" w:color="auto"/>
      </w:divBdr>
      <w:divsChild>
        <w:div w:id="283079807">
          <w:marLeft w:val="360"/>
          <w:marRight w:val="0"/>
          <w:marTop w:val="200"/>
          <w:marBottom w:val="0"/>
          <w:divBdr>
            <w:top w:val="none" w:sz="0" w:space="0" w:color="auto"/>
            <w:left w:val="none" w:sz="0" w:space="0" w:color="auto"/>
            <w:bottom w:val="none" w:sz="0" w:space="0" w:color="auto"/>
            <w:right w:val="none" w:sz="0" w:space="0" w:color="auto"/>
          </w:divBdr>
        </w:div>
        <w:div w:id="185293439">
          <w:marLeft w:val="360"/>
          <w:marRight w:val="0"/>
          <w:marTop w:val="200"/>
          <w:marBottom w:val="0"/>
          <w:divBdr>
            <w:top w:val="none" w:sz="0" w:space="0" w:color="auto"/>
            <w:left w:val="none" w:sz="0" w:space="0" w:color="auto"/>
            <w:bottom w:val="none" w:sz="0" w:space="0" w:color="auto"/>
            <w:right w:val="none" w:sz="0" w:space="0" w:color="auto"/>
          </w:divBdr>
        </w:div>
        <w:div w:id="511798260">
          <w:marLeft w:val="360"/>
          <w:marRight w:val="0"/>
          <w:marTop w:val="200"/>
          <w:marBottom w:val="0"/>
          <w:divBdr>
            <w:top w:val="none" w:sz="0" w:space="0" w:color="auto"/>
            <w:left w:val="none" w:sz="0" w:space="0" w:color="auto"/>
            <w:bottom w:val="none" w:sz="0" w:space="0" w:color="auto"/>
            <w:right w:val="none" w:sz="0" w:space="0" w:color="auto"/>
          </w:divBdr>
        </w:div>
        <w:div w:id="2058236022">
          <w:marLeft w:val="360"/>
          <w:marRight w:val="0"/>
          <w:marTop w:val="200"/>
          <w:marBottom w:val="0"/>
          <w:divBdr>
            <w:top w:val="none" w:sz="0" w:space="0" w:color="auto"/>
            <w:left w:val="none" w:sz="0" w:space="0" w:color="auto"/>
            <w:bottom w:val="none" w:sz="0" w:space="0" w:color="auto"/>
            <w:right w:val="none" w:sz="0" w:space="0" w:color="auto"/>
          </w:divBdr>
        </w:div>
        <w:div w:id="1052267109">
          <w:marLeft w:val="360"/>
          <w:marRight w:val="0"/>
          <w:marTop w:val="200"/>
          <w:marBottom w:val="0"/>
          <w:divBdr>
            <w:top w:val="none" w:sz="0" w:space="0" w:color="auto"/>
            <w:left w:val="none" w:sz="0" w:space="0" w:color="auto"/>
            <w:bottom w:val="none" w:sz="0" w:space="0" w:color="auto"/>
            <w:right w:val="none" w:sz="0" w:space="0" w:color="auto"/>
          </w:divBdr>
        </w:div>
        <w:div w:id="197551630">
          <w:marLeft w:val="360"/>
          <w:marRight w:val="0"/>
          <w:marTop w:val="200"/>
          <w:marBottom w:val="0"/>
          <w:divBdr>
            <w:top w:val="none" w:sz="0" w:space="0" w:color="auto"/>
            <w:left w:val="none" w:sz="0" w:space="0" w:color="auto"/>
            <w:bottom w:val="none" w:sz="0" w:space="0" w:color="auto"/>
            <w:right w:val="none" w:sz="0" w:space="0" w:color="auto"/>
          </w:divBdr>
        </w:div>
      </w:divsChild>
    </w:div>
    <w:div w:id="1790120416">
      <w:bodyDiv w:val="1"/>
      <w:marLeft w:val="0"/>
      <w:marRight w:val="0"/>
      <w:marTop w:val="0"/>
      <w:marBottom w:val="0"/>
      <w:divBdr>
        <w:top w:val="none" w:sz="0" w:space="0" w:color="auto"/>
        <w:left w:val="none" w:sz="0" w:space="0" w:color="auto"/>
        <w:bottom w:val="none" w:sz="0" w:space="0" w:color="auto"/>
        <w:right w:val="none" w:sz="0" w:space="0" w:color="auto"/>
      </w:divBdr>
    </w:div>
    <w:div w:id="1889951636">
      <w:bodyDiv w:val="1"/>
      <w:marLeft w:val="0"/>
      <w:marRight w:val="0"/>
      <w:marTop w:val="0"/>
      <w:marBottom w:val="0"/>
      <w:divBdr>
        <w:top w:val="none" w:sz="0" w:space="0" w:color="auto"/>
        <w:left w:val="none" w:sz="0" w:space="0" w:color="auto"/>
        <w:bottom w:val="none" w:sz="0" w:space="0" w:color="auto"/>
        <w:right w:val="none" w:sz="0" w:space="0" w:color="auto"/>
      </w:divBdr>
      <w:divsChild>
        <w:div w:id="2041007833">
          <w:marLeft w:val="547"/>
          <w:marRight w:val="0"/>
          <w:marTop w:val="0"/>
          <w:marBottom w:val="0"/>
          <w:divBdr>
            <w:top w:val="none" w:sz="0" w:space="0" w:color="auto"/>
            <w:left w:val="none" w:sz="0" w:space="0" w:color="auto"/>
            <w:bottom w:val="none" w:sz="0" w:space="0" w:color="auto"/>
            <w:right w:val="none" w:sz="0" w:space="0" w:color="auto"/>
          </w:divBdr>
        </w:div>
      </w:divsChild>
    </w:div>
    <w:div w:id="1985430807">
      <w:bodyDiv w:val="1"/>
      <w:marLeft w:val="0"/>
      <w:marRight w:val="0"/>
      <w:marTop w:val="0"/>
      <w:marBottom w:val="0"/>
      <w:divBdr>
        <w:top w:val="none" w:sz="0" w:space="0" w:color="auto"/>
        <w:left w:val="none" w:sz="0" w:space="0" w:color="auto"/>
        <w:bottom w:val="none" w:sz="0" w:space="0" w:color="auto"/>
        <w:right w:val="none" w:sz="0" w:space="0" w:color="auto"/>
      </w:divBdr>
      <w:divsChild>
        <w:div w:id="1017541000">
          <w:marLeft w:val="360"/>
          <w:marRight w:val="0"/>
          <w:marTop w:val="200"/>
          <w:marBottom w:val="0"/>
          <w:divBdr>
            <w:top w:val="none" w:sz="0" w:space="0" w:color="auto"/>
            <w:left w:val="none" w:sz="0" w:space="0" w:color="auto"/>
            <w:bottom w:val="none" w:sz="0" w:space="0" w:color="auto"/>
            <w:right w:val="none" w:sz="0" w:space="0" w:color="auto"/>
          </w:divBdr>
        </w:div>
        <w:div w:id="1099450696">
          <w:marLeft w:val="360"/>
          <w:marRight w:val="0"/>
          <w:marTop w:val="200"/>
          <w:marBottom w:val="0"/>
          <w:divBdr>
            <w:top w:val="none" w:sz="0" w:space="0" w:color="auto"/>
            <w:left w:val="none" w:sz="0" w:space="0" w:color="auto"/>
            <w:bottom w:val="none" w:sz="0" w:space="0" w:color="auto"/>
            <w:right w:val="none" w:sz="0" w:space="0" w:color="auto"/>
          </w:divBdr>
        </w:div>
        <w:div w:id="1186136831">
          <w:marLeft w:val="360"/>
          <w:marRight w:val="0"/>
          <w:marTop w:val="200"/>
          <w:marBottom w:val="0"/>
          <w:divBdr>
            <w:top w:val="none" w:sz="0" w:space="0" w:color="auto"/>
            <w:left w:val="none" w:sz="0" w:space="0" w:color="auto"/>
            <w:bottom w:val="none" w:sz="0" w:space="0" w:color="auto"/>
            <w:right w:val="none" w:sz="0" w:space="0" w:color="auto"/>
          </w:divBdr>
        </w:div>
      </w:divsChild>
    </w:div>
    <w:div w:id="1988589499">
      <w:bodyDiv w:val="1"/>
      <w:marLeft w:val="0"/>
      <w:marRight w:val="0"/>
      <w:marTop w:val="0"/>
      <w:marBottom w:val="0"/>
      <w:divBdr>
        <w:top w:val="none" w:sz="0" w:space="0" w:color="auto"/>
        <w:left w:val="none" w:sz="0" w:space="0" w:color="auto"/>
        <w:bottom w:val="none" w:sz="0" w:space="0" w:color="auto"/>
        <w:right w:val="none" w:sz="0" w:space="0" w:color="auto"/>
      </w:divBdr>
    </w:div>
    <w:div w:id="2043558313">
      <w:bodyDiv w:val="1"/>
      <w:marLeft w:val="0"/>
      <w:marRight w:val="0"/>
      <w:marTop w:val="0"/>
      <w:marBottom w:val="0"/>
      <w:divBdr>
        <w:top w:val="none" w:sz="0" w:space="0" w:color="auto"/>
        <w:left w:val="none" w:sz="0" w:space="0" w:color="auto"/>
        <w:bottom w:val="none" w:sz="0" w:space="0" w:color="auto"/>
        <w:right w:val="none" w:sz="0" w:space="0" w:color="auto"/>
      </w:divBdr>
    </w:div>
    <w:div w:id="20516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d0d8ea-76a9-4371-9fec-94f9fb8aa00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5659838844EFE469032E4BCDFC875C7" ma:contentTypeVersion="16" ma:contentTypeDescription="Create a new document." ma:contentTypeScope="" ma:versionID="a057e45d4f9ea60eaca09c3a1c4b0b6a">
  <xsd:schema xmlns:xsd="http://www.w3.org/2001/XMLSchema" xmlns:xs="http://www.w3.org/2001/XMLSchema" xmlns:p="http://schemas.microsoft.com/office/2006/metadata/properties" xmlns:ns3="13d0d8ea-76a9-4371-9fec-94f9fb8aa006" xmlns:ns4="9eeab659-c46c-45e0-b1ad-2884d13ea558" targetNamespace="http://schemas.microsoft.com/office/2006/metadata/properties" ma:root="true" ma:fieldsID="f720d1efe70847feac981e088f630204" ns3:_="" ns4:_="">
    <xsd:import namespace="13d0d8ea-76a9-4371-9fec-94f9fb8aa006"/>
    <xsd:import namespace="9eeab659-c46c-45e0-b1ad-2884d13ea55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d8ea-76a9-4371-9fec-94f9fb8aa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b659-c46c-45e0-b1ad-2884d13ea55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B5EF17-3DE2-4EFD-83CC-68E012D5265D}">
  <ds:schemaRefs>
    <ds:schemaRef ds:uri="http://schemas.microsoft.com/office/2006/metadata/properties"/>
    <ds:schemaRef ds:uri="http://schemas.microsoft.com/office/infopath/2007/PartnerControls"/>
    <ds:schemaRef ds:uri="13d0d8ea-76a9-4371-9fec-94f9fb8aa006"/>
  </ds:schemaRefs>
</ds:datastoreItem>
</file>

<file path=customXml/itemProps2.xml><?xml version="1.0" encoding="utf-8"?>
<ds:datastoreItem xmlns:ds="http://schemas.openxmlformats.org/officeDocument/2006/customXml" ds:itemID="{72ABB0D7-F718-4131-98F7-24629228ECE8}">
  <ds:schemaRefs>
    <ds:schemaRef ds:uri="http://schemas.openxmlformats.org/officeDocument/2006/bibliography"/>
  </ds:schemaRefs>
</ds:datastoreItem>
</file>

<file path=customXml/itemProps3.xml><?xml version="1.0" encoding="utf-8"?>
<ds:datastoreItem xmlns:ds="http://schemas.openxmlformats.org/officeDocument/2006/customXml" ds:itemID="{F0D2C4F8-A98C-47A4-90E2-7E331D5F4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d8ea-76a9-4371-9fec-94f9fb8aa006"/>
    <ds:schemaRef ds:uri="9eeab659-c46c-45e0-b1ad-2884d13e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37494-DD78-44D1-8C69-821E2002A4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5872</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Charmaine Leso</cp:lastModifiedBy>
  <cp:revision>2</cp:revision>
  <cp:lastPrinted>2021-11-29T11:44:00Z</cp:lastPrinted>
  <dcterms:created xsi:type="dcterms:W3CDTF">2023-12-05T10:53:00Z</dcterms:created>
  <dcterms:modified xsi:type="dcterms:W3CDTF">2023-12-05T10:53:00Z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0x010100E5659838844EFE469032E4BCDFC875C7</vt:lpwstr>
  </property>
  <property fmtid="{D5CDD505-2E9C-101B-9397-08002B2CF9AE}" pid="4" name="MSIP_Label_41a00853-e5cc-480d-8b74-afcdbe2c705a_Enabled">
    <vt:lpwstr>true</vt:lpwstr>
  </property>
  <property fmtid="{D5CDD505-2E9C-101B-9397-08002B2CF9AE}" pid="5" name="MSIP_Label_41a00853-e5cc-480d-8b74-afcdbe2c705a_SetDate">
    <vt:lpwstr>2023-11-13T10:38:26Z</vt:lpwstr>
  </property>
  <property fmtid="{D5CDD505-2E9C-101B-9397-08002B2CF9AE}" pid="6" name="MSIP_Label_41a00853-e5cc-480d-8b74-afcdbe2c705a_Method">
    <vt:lpwstr>Standard</vt:lpwstr>
  </property>
  <property fmtid="{D5CDD505-2E9C-101B-9397-08002B2CF9AE}" pid="7" name="MSIP_Label_41a00853-e5cc-480d-8b74-afcdbe2c705a_Name">
    <vt:lpwstr>defa4170-0d19-0005-0004-bc88714345d2</vt:lpwstr>
  </property>
  <property fmtid="{D5CDD505-2E9C-101B-9397-08002B2CF9AE}" pid="8" name="MSIP_Label_41a00853-e5cc-480d-8b74-afcdbe2c705a_SiteId">
    <vt:lpwstr>4a3d1c5b-66b2-47c2-88d1-7eaa8d27e6cf</vt:lpwstr>
  </property>
  <property fmtid="{D5CDD505-2E9C-101B-9397-08002B2CF9AE}" pid="9" name="MSIP_Label_41a00853-e5cc-480d-8b74-afcdbe2c705a_ActionId">
    <vt:lpwstr>efd20ee4-b899-459b-8c62-546a71a9f150</vt:lpwstr>
  </property>
  <property fmtid="{D5CDD505-2E9C-101B-9397-08002B2CF9AE}" pid="10" name="MSIP_Label_41a00853-e5cc-480d-8b74-afcdbe2c705a_ContentBits">
    <vt:lpwstr>0</vt:lpwstr>
  </property>
</Properties>
</file>