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1D5F9" w14:textId="7DC532B5" w:rsidR="00C349C6" w:rsidRDefault="00C349C6"/>
    <w:p w14:paraId="113746D0" w14:textId="10A45330" w:rsidR="00EE6442" w:rsidRDefault="00EE6442"/>
    <w:p w14:paraId="0B17FFB4" w14:textId="32B956C3" w:rsidR="00EE6442" w:rsidRDefault="00EE6442"/>
    <w:p w14:paraId="0B423D6D" w14:textId="073B3620" w:rsidR="00EE6442" w:rsidRDefault="00EE6442"/>
    <w:p w14:paraId="05980D98" w14:textId="354E3AE3" w:rsidR="00EE6442" w:rsidRDefault="00EE6442"/>
    <w:p w14:paraId="1535F8EC" w14:textId="529B4322" w:rsidR="00EE6442" w:rsidRDefault="00EE6442"/>
    <w:p w14:paraId="296B618B" w14:textId="1789E472" w:rsidR="00EE6442" w:rsidRDefault="00EE6442"/>
    <w:p w14:paraId="200D9FD0" w14:textId="45B8C375" w:rsidR="00EE6442" w:rsidRDefault="00EE6442"/>
    <w:p w14:paraId="5C2F31A0" w14:textId="073DABAB" w:rsidR="00EE6442" w:rsidRDefault="00EE6442"/>
    <w:p w14:paraId="3691F03B" w14:textId="7D4BCB07" w:rsidR="00EE6442" w:rsidRDefault="00EE6442"/>
    <w:p w14:paraId="4F3DE089" w14:textId="0B1FB592" w:rsidR="00EE6442" w:rsidRDefault="00EE6442"/>
    <w:p w14:paraId="7065D1ED" w14:textId="60171B94" w:rsidR="00EE6442" w:rsidRDefault="008F5563">
      <w:r>
        <w:rPr>
          <w:noProof/>
        </w:rPr>
        <mc:AlternateContent>
          <mc:Choice Requires="wps">
            <w:drawing>
              <wp:anchor distT="0" distB="0" distL="114300" distR="114300" simplePos="0" relativeHeight="251658240" behindDoc="0" locked="0" layoutInCell="1" allowOverlap="1" wp14:anchorId="213F89F2" wp14:editId="7C944B3B">
                <wp:simplePos x="0" y="0"/>
                <wp:positionH relativeFrom="margin">
                  <wp:posOffset>-374650</wp:posOffset>
                </wp:positionH>
                <wp:positionV relativeFrom="paragraph">
                  <wp:posOffset>144145</wp:posOffset>
                </wp:positionV>
                <wp:extent cx="6273800" cy="4724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3800" cy="4724400"/>
                        </a:xfrm>
                        <a:prstGeom prst="rect">
                          <a:avLst/>
                        </a:prstGeom>
                        <a:noFill/>
                        <a:ln w="6350">
                          <a:noFill/>
                        </a:ln>
                      </wps:spPr>
                      <wps:txbx>
                        <w:txbxContent>
                          <w:p w14:paraId="67B21637" w14:textId="431D65FF" w:rsidR="00417A7E" w:rsidRDefault="00417A7E" w:rsidP="00417A7E">
                            <w:pPr>
                              <w:jc w:val="center"/>
                              <w:rPr>
                                <w:rFonts w:ascii="Arial" w:hAnsi="Arial" w:cs="Arial"/>
                                <w:b/>
                                <w:bCs/>
                                <w:color w:val="1E4C22"/>
                                <w:sz w:val="40"/>
                                <w:szCs w:val="40"/>
                                <w:lang w:val="en-US"/>
                              </w:rPr>
                            </w:pPr>
                            <w:bookmarkStart w:id="0" w:name="_Hlk117108392"/>
                            <w:r w:rsidRPr="00417A7E">
                              <w:rPr>
                                <w:rFonts w:ascii="Arial" w:hAnsi="Arial" w:cs="Arial"/>
                                <w:b/>
                                <w:bCs/>
                                <w:color w:val="1E4C22"/>
                                <w:sz w:val="40"/>
                                <w:szCs w:val="40"/>
                                <w:lang w:val="en-US"/>
                              </w:rPr>
                              <w:t xml:space="preserve">RESEARCH ANALYSIS OF THE </w:t>
                            </w:r>
                            <w:r w:rsidR="000F6DF8">
                              <w:rPr>
                                <w:rFonts w:ascii="Arial" w:hAnsi="Arial" w:cs="Arial"/>
                                <w:b/>
                                <w:bCs/>
                                <w:color w:val="1E4C22"/>
                                <w:sz w:val="40"/>
                                <w:szCs w:val="40"/>
                                <w:lang w:val="en-US"/>
                              </w:rPr>
                              <w:t>ANNUAL REPORT</w:t>
                            </w:r>
                            <w:r w:rsidRPr="00417A7E">
                              <w:rPr>
                                <w:rFonts w:ascii="Arial" w:hAnsi="Arial" w:cs="Arial"/>
                                <w:b/>
                                <w:bCs/>
                                <w:color w:val="1E4C22"/>
                                <w:sz w:val="40"/>
                                <w:szCs w:val="40"/>
                                <w:lang w:val="en-US"/>
                              </w:rPr>
                              <w:t xml:space="preserve"> OF THE GAUTENG PROVINCIAL LEGISLATURE</w:t>
                            </w:r>
                          </w:p>
                          <w:p w14:paraId="360B31FE" w14:textId="2084EF64" w:rsidR="00417A7E" w:rsidRPr="00417A7E" w:rsidRDefault="00417A7E" w:rsidP="00417A7E">
                            <w:pPr>
                              <w:jc w:val="center"/>
                              <w:rPr>
                                <w:rFonts w:ascii="Arial" w:hAnsi="Arial" w:cs="Arial"/>
                                <w:b/>
                                <w:bCs/>
                                <w:color w:val="1E4C22"/>
                                <w:sz w:val="40"/>
                                <w:szCs w:val="40"/>
                                <w:lang w:val="en-US"/>
                              </w:rPr>
                            </w:pPr>
                            <w:r w:rsidRPr="00417A7E">
                              <w:rPr>
                                <w:rFonts w:ascii="Arial" w:hAnsi="Arial" w:cs="Arial"/>
                                <w:b/>
                                <w:bCs/>
                                <w:color w:val="1E4C22"/>
                                <w:sz w:val="40"/>
                                <w:szCs w:val="40"/>
                                <w:lang w:val="en-US"/>
                              </w:rPr>
                              <w:t>202</w:t>
                            </w:r>
                            <w:r w:rsidR="000F6DF8">
                              <w:rPr>
                                <w:rFonts w:ascii="Arial" w:hAnsi="Arial" w:cs="Arial"/>
                                <w:b/>
                                <w:bCs/>
                                <w:color w:val="1E4C22"/>
                                <w:sz w:val="40"/>
                                <w:szCs w:val="40"/>
                                <w:lang w:val="en-US"/>
                              </w:rPr>
                              <w:t>2</w:t>
                            </w:r>
                            <w:r w:rsidRPr="00417A7E">
                              <w:rPr>
                                <w:rFonts w:ascii="Arial" w:hAnsi="Arial" w:cs="Arial"/>
                                <w:b/>
                                <w:bCs/>
                                <w:color w:val="1E4C22"/>
                                <w:sz w:val="40"/>
                                <w:szCs w:val="40"/>
                                <w:lang w:val="en-US"/>
                              </w:rPr>
                              <w:t>-2</w:t>
                            </w:r>
                            <w:r w:rsidR="000F6DF8">
                              <w:rPr>
                                <w:rFonts w:ascii="Arial" w:hAnsi="Arial" w:cs="Arial"/>
                                <w:b/>
                                <w:bCs/>
                                <w:color w:val="1E4C22"/>
                                <w:sz w:val="40"/>
                                <w:szCs w:val="40"/>
                                <w:lang w:val="en-US"/>
                              </w:rPr>
                              <w:t>3</w:t>
                            </w:r>
                            <w:r w:rsidR="00F06A73">
                              <w:rPr>
                                <w:rFonts w:ascii="Arial" w:hAnsi="Arial" w:cs="Arial"/>
                                <w:b/>
                                <w:bCs/>
                                <w:color w:val="1E4C22"/>
                                <w:sz w:val="40"/>
                                <w:szCs w:val="40"/>
                                <w:lang w:val="en-US"/>
                              </w:rPr>
                              <w:t xml:space="preserve"> </w:t>
                            </w:r>
                            <w:r w:rsidRPr="00417A7E">
                              <w:rPr>
                                <w:rFonts w:ascii="Arial" w:hAnsi="Arial" w:cs="Arial"/>
                                <w:b/>
                                <w:bCs/>
                                <w:color w:val="1E4C22"/>
                                <w:sz w:val="40"/>
                                <w:szCs w:val="40"/>
                                <w:lang w:val="en-US"/>
                              </w:rPr>
                              <w:t>FY</w:t>
                            </w:r>
                          </w:p>
                          <w:bookmarkEnd w:id="0"/>
                          <w:p w14:paraId="6689BA55" w14:textId="77777777" w:rsidR="00417A7E" w:rsidRPr="00417A7E" w:rsidRDefault="00417A7E" w:rsidP="00417A7E">
                            <w:pPr>
                              <w:jc w:val="center"/>
                              <w:rPr>
                                <w:rFonts w:ascii="Arial" w:hAnsi="Arial" w:cs="Arial"/>
                                <w:b/>
                                <w:bCs/>
                                <w:color w:val="1E4C22"/>
                                <w:sz w:val="32"/>
                                <w:szCs w:val="32"/>
                                <w:lang w:val="en-US"/>
                              </w:rPr>
                            </w:pPr>
                          </w:p>
                          <w:p w14:paraId="4CBE3FA5" w14:textId="77777777" w:rsidR="00417A7E" w:rsidRPr="00417A7E" w:rsidRDefault="00417A7E" w:rsidP="00417A7E">
                            <w:pPr>
                              <w:jc w:val="center"/>
                              <w:rPr>
                                <w:rFonts w:ascii="Arial" w:hAnsi="Arial" w:cs="Arial"/>
                                <w:b/>
                                <w:bCs/>
                                <w:color w:val="1E4C22"/>
                                <w:sz w:val="32"/>
                                <w:szCs w:val="32"/>
                                <w:lang w:val="en-US"/>
                              </w:rPr>
                            </w:pPr>
                          </w:p>
                          <w:p w14:paraId="399C84F1" w14:textId="77777777" w:rsidR="00417A7E" w:rsidRPr="00417A7E" w:rsidRDefault="00417A7E" w:rsidP="00417A7E">
                            <w:pPr>
                              <w:jc w:val="center"/>
                              <w:rPr>
                                <w:rFonts w:ascii="Arial" w:hAnsi="Arial" w:cs="Arial"/>
                                <w:color w:val="894115"/>
                                <w:sz w:val="32"/>
                                <w:szCs w:val="32"/>
                                <w:lang w:val="en-US"/>
                              </w:rPr>
                            </w:pPr>
                            <w:bookmarkStart w:id="1" w:name="_Hlk117108451"/>
                            <w:r w:rsidRPr="00417A7E">
                              <w:rPr>
                                <w:rFonts w:ascii="Arial" w:hAnsi="Arial" w:cs="Arial"/>
                                <w:color w:val="894115"/>
                                <w:sz w:val="32"/>
                                <w:szCs w:val="32"/>
                                <w:lang w:val="en-US"/>
                              </w:rPr>
                              <w:t xml:space="preserve">PRESENTED TO THE </w:t>
                            </w:r>
                          </w:p>
                          <w:bookmarkEnd w:id="1"/>
                          <w:p w14:paraId="44A4EFE3" w14:textId="77777777" w:rsidR="00417A7E" w:rsidRPr="00417A7E" w:rsidRDefault="00417A7E" w:rsidP="00417A7E">
                            <w:pPr>
                              <w:jc w:val="center"/>
                              <w:rPr>
                                <w:rFonts w:ascii="Arial" w:hAnsi="Arial" w:cs="Arial"/>
                                <w:color w:val="894115"/>
                                <w:sz w:val="32"/>
                                <w:szCs w:val="32"/>
                                <w:lang w:val="en-US"/>
                              </w:rPr>
                            </w:pPr>
                          </w:p>
                          <w:p w14:paraId="0693A53F" w14:textId="77777777" w:rsidR="00417A7E" w:rsidRPr="00417A7E" w:rsidRDefault="00417A7E" w:rsidP="00417A7E">
                            <w:pPr>
                              <w:jc w:val="center"/>
                              <w:rPr>
                                <w:rFonts w:ascii="Arial" w:hAnsi="Arial" w:cs="Arial"/>
                                <w:b/>
                                <w:bCs/>
                                <w:color w:val="1E4C22"/>
                                <w:sz w:val="36"/>
                                <w:szCs w:val="36"/>
                                <w:lang w:val="en-US"/>
                              </w:rPr>
                            </w:pPr>
                            <w:r w:rsidRPr="00417A7E">
                              <w:rPr>
                                <w:rFonts w:ascii="Arial" w:hAnsi="Arial" w:cs="Arial"/>
                                <w:b/>
                                <w:bCs/>
                                <w:color w:val="1E4C22"/>
                                <w:sz w:val="36"/>
                                <w:szCs w:val="36"/>
                                <w:lang w:val="en-US"/>
                              </w:rPr>
                              <w:t>OVERSIGHT COMMITTEE ON THE PREMIER’S OFFICE AND LEGISLATURE (OCPOL)</w:t>
                            </w:r>
                          </w:p>
                          <w:p w14:paraId="693703D4" w14:textId="77777777" w:rsidR="00417A7E" w:rsidRPr="00417A7E" w:rsidRDefault="00417A7E" w:rsidP="00417A7E">
                            <w:pPr>
                              <w:jc w:val="center"/>
                              <w:rPr>
                                <w:rFonts w:ascii="Arial" w:hAnsi="Arial" w:cs="Arial"/>
                                <w:color w:val="894115"/>
                                <w:sz w:val="32"/>
                                <w:szCs w:val="32"/>
                                <w:lang w:val="en-US"/>
                              </w:rPr>
                            </w:pPr>
                          </w:p>
                          <w:p w14:paraId="7E9AC0B7" w14:textId="77777777" w:rsidR="00417A7E" w:rsidRPr="00417A7E" w:rsidRDefault="00417A7E" w:rsidP="00417A7E">
                            <w:pPr>
                              <w:jc w:val="center"/>
                              <w:rPr>
                                <w:rFonts w:ascii="Arial" w:hAnsi="Arial" w:cs="Arial"/>
                                <w:color w:val="894115"/>
                                <w:sz w:val="32"/>
                                <w:szCs w:val="32"/>
                                <w:lang w:val="en-US"/>
                              </w:rPr>
                            </w:pPr>
                            <w:r w:rsidRPr="00417A7E">
                              <w:rPr>
                                <w:rFonts w:ascii="Arial" w:hAnsi="Arial" w:cs="Arial"/>
                                <w:color w:val="894115"/>
                                <w:sz w:val="32"/>
                                <w:szCs w:val="32"/>
                                <w:lang w:val="en-US"/>
                              </w:rPr>
                              <w:t>BY</w:t>
                            </w:r>
                          </w:p>
                          <w:p w14:paraId="11E0317B" w14:textId="77777777" w:rsidR="00417A7E" w:rsidRPr="00417A7E" w:rsidRDefault="00417A7E" w:rsidP="00417A7E">
                            <w:pPr>
                              <w:jc w:val="center"/>
                              <w:rPr>
                                <w:rFonts w:ascii="Arial" w:hAnsi="Arial" w:cs="Arial"/>
                                <w:color w:val="894115"/>
                                <w:sz w:val="32"/>
                                <w:szCs w:val="32"/>
                                <w:lang w:val="en-US"/>
                              </w:rPr>
                            </w:pPr>
                          </w:p>
                          <w:p w14:paraId="60D6FF0B" w14:textId="77777777" w:rsidR="00417A7E" w:rsidRPr="00417A7E" w:rsidRDefault="00417A7E" w:rsidP="00417A7E">
                            <w:pPr>
                              <w:jc w:val="center"/>
                              <w:rPr>
                                <w:rFonts w:ascii="Arial" w:hAnsi="Arial" w:cs="Arial"/>
                                <w:color w:val="894115"/>
                                <w:sz w:val="32"/>
                                <w:szCs w:val="32"/>
                                <w:lang w:val="en-US"/>
                              </w:rPr>
                            </w:pPr>
                            <w:r w:rsidRPr="00417A7E">
                              <w:rPr>
                                <w:rFonts w:ascii="Arial" w:hAnsi="Arial" w:cs="Arial"/>
                                <w:color w:val="894115"/>
                                <w:sz w:val="32"/>
                                <w:szCs w:val="32"/>
                                <w:lang w:val="en-US"/>
                              </w:rPr>
                              <w:t>MR. OBAKENG MOGOLE: COMMITTEE RESEARCHER</w:t>
                            </w:r>
                          </w:p>
                          <w:p w14:paraId="33032E27" w14:textId="77777777" w:rsidR="00417A7E" w:rsidRPr="00417A7E" w:rsidRDefault="00417A7E" w:rsidP="00417A7E">
                            <w:pPr>
                              <w:jc w:val="center"/>
                              <w:rPr>
                                <w:rFonts w:ascii="Arial" w:hAnsi="Arial" w:cs="Arial"/>
                                <w:color w:val="894115"/>
                                <w:sz w:val="32"/>
                                <w:szCs w:val="32"/>
                                <w:lang w:val="en-US"/>
                              </w:rPr>
                            </w:pPr>
                          </w:p>
                          <w:p w14:paraId="1C0E49E3" w14:textId="77777777" w:rsidR="00417A7E" w:rsidRPr="00417A7E" w:rsidRDefault="00417A7E" w:rsidP="00417A7E">
                            <w:pPr>
                              <w:jc w:val="center"/>
                              <w:rPr>
                                <w:rFonts w:ascii="Arial" w:hAnsi="Arial" w:cs="Arial"/>
                                <w:color w:val="894115"/>
                                <w:sz w:val="32"/>
                                <w:szCs w:val="32"/>
                                <w:lang w:val="en-US"/>
                              </w:rPr>
                            </w:pPr>
                          </w:p>
                          <w:p w14:paraId="6B355A63" w14:textId="2CA898D8" w:rsidR="00417A7E" w:rsidRPr="00417A7E" w:rsidRDefault="000F6DF8" w:rsidP="00417A7E">
                            <w:pPr>
                              <w:jc w:val="center"/>
                              <w:rPr>
                                <w:rFonts w:ascii="Arial" w:hAnsi="Arial" w:cs="Arial"/>
                                <w:color w:val="894115"/>
                                <w:sz w:val="32"/>
                                <w:szCs w:val="32"/>
                                <w:lang w:val="en-US"/>
                              </w:rPr>
                            </w:pPr>
                            <w:r>
                              <w:rPr>
                                <w:rFonts w:ascii="Arial" w:hAnsi="Arial" w:cs="Arial"/>
                                <w:color w:val="894115"/>
                                <w:sz w:val="32"/>
                                <w:szCs w:val="32"/>
                                <w:lang w:val="en-US"/>
                              </w:rPr>
                              <w:t>21 September</w:t>
                            </w:r>
                            <w:r w:rsidR="00F06A73">
                              <w:rPr>
                                <w:rFonts w:ascii="Arial" w:hAnsi="Arial" w:cs="Arial"/>
                                <w:color w:val="894115"/>
                                <w:sz w:val="32"/>
                                <w:szCs w:val="32"/>
                                <w:lang w:val="en-US"/>
                              </w:rPr>
                              <w:t xml:space="preserve"> </w:t>
                            </w:r>
                            <w:r w:rsidR="00417A7E" w:rsidRPr="00417A7E">
                              <w:rPr>
                                <w:rFonts w:ascii="Arial" w:hAnsi="Arial" w:cs="Arial"/>
                                <w:color w:val="894115"/>
                                <w:sz w:val="32"/>
                                <w:szCs w:val="32"/>
                                <w:lang w:val="en-US"/>
                              </w:rPr>
                              <w:t>202</w:t>
                            </w:r>
                            <w:r w:rsidR="00A54AAF">
                              <w:rPr>
                                <w:rFonts w:ascii="Arial" w:hAnsi="Arial" w:cs="Arial"/>
                                <w:color w:val="894115"/>
                                <w:sz w:val="32"/>
                                <w:szCs w:val="32"/>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F89F2" id="_x0000_t202" coordsize="21600,21600" o:spt="202" path="m,l,21600r21600,l21600,xe">
                <v:stroke joinstyle="miter"/>
                <v:path gradientshapeok="t" o:connecttype="rect"/>
              </v:shapetype>
              <v:shape id="Text Box 4" o:spid="_x0000_s1026" type="#_x0000_t202" style="position:absolute;margin-left:-29.5pt;margin-top:11.35pt;width:494pt;height:37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" filled="f" stroked="f" strokeweight=".5pt">
                <v:textbox>
                  <w:txbxContent>
                    <w:p w14:paraId="67B21637" w14:textId="431D65FF" w:rsidR="00417A7E" w:rsidRDefault="00417A7E" w:rsidP="00417A7E">
                      <w:pPr>
                        <w:jc w:val="center"/>
                        <w:rPr>
                          <w:rFonts w:ascii="Arial" w:hAnsi="Arial" w:cs="Arial"/>
                          <w:b/>
                          <w:bCs/>
                          <w:color w:val="1E4C22"/>
                          <w:sz w:val="40"/>
                          <w:szCs w:val="40"/>
                          <w:lang w:val="en-US"/>
                        </w:rPr>
                      </w:pPr>
                      <w:bookmarkStart w:id="2" w:name="_Hlk117108392"/>
                      <w:r w:rsidRPr="00417A7E">
                        <w:rPr>
                          <w:rFonts w:ascii="Arial" w:hAnsi="Arial" w:cs="Arial"/>
                          <w:b/>
                          <w:bCs/>
                          <w:color w:val="1E4C22"/>
                          <w:sz w:val="40"/>
                          <w:szCs w:val="40"/>
                          <w:lang w:val="en-US"/>
                        </w:rPr>
                        <w:t xml:space="preserve">RESEARCH ANALYSIS OF THE </w:t>
                      </w:r>
                      <w:r w:rsidR="000F6DF8">
                        <w:rPr>
                          <w:rFonts w:ascii="Arial" w:hAnsi="Arial" w:cs="Arial"/>
                          <w:b/>
                          <w:bCs/>
                          <w:color w:val="1E4C22"/>
                          <w:sz w:val="40"/>
                          <w:szCs w:val="40"/>
                          <w:lang w:val="en-US"/>
                        </w:rPr>
                        <w:t>ANNUAL REPORT</w:t>
                      </w:r>
                      <w:r w:rsidRPr="00417A7E">
                        <w:rPr>
                          <w:rFonts w:ascii="Arial" w:hAnsi="Arial" w:cs="Arial"/>
                          <w:b/>
                          <w:bCs/>
                          <w:color w:val="1E4C22"/>
                          <w:sz w:val="40"/>
                          <w:szCs w:val="40"/>
                          <w:lang w:val="en-US"/>
                        </w:rPr>
                        <w:t xml:space="preserve"> OF THE GAUTENG PROVINCIAL LEGISLATURE</w:t>
                      </w:r>
                    </w:p>
                    <w:p w14:paraId="360B31FE" w14:textId="2084EF64" w:rsidR="00417A7E" w:rsidRPr="00417A7E" w:rsidRDefault="00417A7E" w:rsidP="00417A7E">
                      <w:pPr>
                        <w:jc w:val="center"/>
                        <w:rPr>
                          <w:rFonts w:ascii="Arial" w:hAnsi="Arial" w:cs="Arial"/>
                          <w:b/>
                          <w:bCs/>
                          <w:color w:val="1E4C22"/>
                          <w:sz w:val="40"/>
                          <w:szCs w:val="40"/>
                          <w:lang w:val="en-US"/>
                        </w:rPr>
                      </w:pPr>
                      <w:r w:rsidRPr="00417A7E">
                        <w:rPr>
                          <w:rFonts w:ascii="Arial" w:hAnsi="Arial" w:cs="Arial"/>
                          <w:b/>
                          <w:bCs/>
                          <w:color w:val="1E4C22"/>
                          <w:sz w:val="40"/>
                          <w:szCs w:val="40"/>
                          <w:lang w:val="en-US"/>
                        </w:rPr>
                        <w:t>202</w:t>
                      </w:r>
                      <w:r w:rsidR="000F6DF8">
                        <w:rPr>
                          <w:rFonts w:ascii="Arial" w:hAnsi="Arial" w:cs="Arial"/>
                          <w:b/>
                          <w:bCs/>
                          <w:color w:val="1E4C22"/>
                          <w:sz w:val="40"/>
                          <w:szCs w:val="40"/>
                          <w:lang w:val="en-US"/>
                        </w:rPr>
                        <w:t>2</w:t>
                      </w:r>
                      <w:r w:rsidRPr="00417A7E">
                        <w:rPr>
                          <w:rFonts w:ascii="Arial" w:hAnsi="Arial" w:cs="Arial"/>
                          <w:b/>
                          <w:bCs/>
                          <w:color w:val="1E4C22"/>
                          <w:sz w:val="40"/>
                          <w:szCs w:val="40"/>
                          <w:lang w:val="en-US"/>
                        </w:rPr>
                        <w:t>-2</w:t>
                      </w:r>
                      <w:r w:rsidR="000F6DF8">
                        <w:rPr>
                          <w:rFonts w:ascii="Arial" w:hAnsi="Arial" w:cs="Arial"/>
                          <w:b/>
                          <w:bCs/>
                          <w:color w:val="1E4C22"/>
                          <w:sz w:val="40"/>
                          <w:szCs w:val="40"/>
                          <w:lang w:val="en-US"/>
                        </w:rPr>
                        <w:t>3</w:t>
                      </w:r>
                      <w:r w:rsidR="00F06A73">
                        <w:rPr>
                          <w:rFonts w:ascii="Arial" w:hAnsi="Arial" w:cs="Arial"/>
                          <w:b/>
                          <w:bCs/>
                          <w:color w:val="1E4C22"/>
                          <w:sz w:val="40"/>
                          <w:szCs w:val="40"/>
                          <w:lang w:val="en-US"/>
                        </w:rPr>
                        <w:t xml:space="preserve"> </w:t>
                      </w:r>
                      <w:r w:rsidRPr="00417A7E">
                        <w:rPr>
                          <w:rFonts w:ascii="Arial" w:hAnsi="Arial" w:cs="Arial"/>
                          <w:b/>
                          <w:bCs/>
                          <w:color w:val="1E4C22"/>
                          <w:sz w:val="40"/>
                          <w:szCs w:val="40"/>
                          <w:lang w:val="en-US"/>
                        </w:rPr>
                        <w:t>FY</w:t>
                      </w:r>
                    </w:p>
                    <w:bookmarkEnd w:id="2"/>
                    <w:p w14:paraId="6689BA55" w14:textId="77777777" w:rsidR="00417A7E" w:rsidRPr="00417A7E" w:rsidRDefault="00417A7E" w:rsidP="00417A7E">
                      <w:pPr>
                        <w:jc w:val="center"/>
                        <w:rPr>
                          <w:rFonts w:ascii="Arial" w:hAnsi="Arial" w:cs="Arial"/>
                          <w:b/>
                          <w:bCs/>
                          <w:color w:val="1E4C22"/>
                          <w:sz w:val="32"/>
                          <w:szCs w:val="32"/>
                          <w:lang w:val="en-US"/>
                        </w:rPr>
                      </w:pPr>
                    </w:p>
                    <w:p w14:paraId="4CBE3FA5" w14:textId="77777777" w:rsidR="00417A7E" w:rsidRPr="00417A7E" w:rsidRDefault="00417A7E" w:rsidP="00417A7E">
                      <w:pPr>
                        <w:jc w:val="center"/>
                        <w:rPr>
                          <w:rFonts w:ascii="Arial" w:hAnsi="Arial" w:cs="Arial"/>
                          <w:b/>
                          <w:bCs/>
                          <w:color w:val="1E4C22"/>
                          <w:sz w:val="32"/>
                          <w:szCs w:val="32"/>
                          <w:lang w:val="en-US"/>
                        </w:rPr>
                      </w:pPr>
                    </w:p>
                    <w:p w14:paraId="399C84F1" w14:textId="77777777" w:rsidR="00417A7E" w:rsidRPr="00417A7E" w:rsidRDefault="00417A7E" w:rsidP="00417A7E">
                      <w:pPr>
                        <w:jc w:val="center"/>
                        <w:rPr>
                          <w:rFonts w:ascii="Arial" w:hAnsi="Arial" w:cs="Arial"/>
                          <w:color w:val="894115"/>
                          <w:sz w:val="32"/>
                          <w:szCs w:val="32"/>
                          <w:lang w:val="en-US"/>
                        </w:rPr>
                      </w:pPr>
                      <w:bookmarkStart w:id="3" w:name="_Hlk117108451"/>
                      <w:r w:rsidRPr="00417A7E">
                        <w:rPr>
                          <w:rFonts w:ascii="Arial" w:hAnsi="Arial" w:cs="Arial"/>
                          <w:color w:val="894115"/>
                          <w:sz w:val="32"/>
                          <w:szCs w:val="32"/>
                          <w:lang w:val="en-US"/>
                        </w:rPr>
                        <w:t xml:space="preserve">PRESENTED TO THE </w:t>
                      </w:r>
                    </w:p>
                    <w:bookmarkEnd w:id="3"/>
                    <w:p w14:paraId="44A4EFE3" w14:textId="77777777" w:rsidR="00417A7E" w:rsidRPr="00417A7E" w:rsidRDefault="00417A7E" w:rsidP="00417A7E">
                      <w:pPr>
                        <w:jc w:val="center"/>
                        <w:rPr>
                          <w:rFonts w:ascii="Arial" w:hAnsi="Arial" w:cs="Arial"/>
                          <w:color w:val="894115"/>
                          <w:sz w:val="32"/>
                          <w:szCs w:val="32"/>
                          <w:lang w:val="en-US"/>
                        </w:rPr>
                      </w:pPr>
                    </w:p>
                    <w:p w14:paraId="0693A53F" w14:textId="77777777" w:rsidR="00417A7E" w:rsidRPr="00417A7E" w:rsidRDefault="00417A7E" w:rsidP="00417A7E">
                      <w:pPr>
                        <w:jc w:val="center"/>
                        <w:rPr>
                          <w:rFonts w:ascii="Arial" w:hAnsi="Arial" w:cs="Arial"/>
                          <w:b/>
                          <w:bCs/>
                          <w:color w:val="1E4C22"/>
                          <w:sz w:val="36"/>
                          <w:szCs w:val="36"/>
                          <w:lang w:val="en-US"/>
                        </w:rPr>
                      </w:pPr>
                      <w:r w:rsidRPr="00417A7E">
                        <w:rPr>
                          <w:rFonts w:ascii="Arial" w:hAnsi="Arial" w:cs="Arial"/>
                          <w:b/>
                          <w:bCs/>
                          <w:color w:val="1E4C22"/>
                          <w:sz w:val="36"/>
                          <w:szCs w:val="36"/>
                          <w:lang w:val="en-US"/>
                        </w:rPr>
                        <w:t>OVERSIGHT COMMITTEE ON THE PREMIER’S OFFICE AND LEGISLATURE (OCPOL)</w:t>
                      </w:r>
                    </w:p>
                    <w:p w14:paraId="693703D4" w14:textId="77777777" w:rsidR="00417A7E" w:rsidRPr="00417A7E" w:rsidRDefault="00417A7E" w:rsidP="00417A7E">
                      <w:pPr>
                        <w:jc w:val="center"/>
                        <w:rPr>
                          <w:rFonts w:ascii="Arial" w:hAnsi="Arial" w:cs="Arial"/>
                          <w:color w:val="894115"/>
                          <w:sz w:val="32"/>
                          <w:szCs w:val="32"/>
                          <w:lang w:val="en-US"/>
                        </w:rPr>
                      </w:pPr>
                    </w:p>
                    <w:p w14:paraId="7E9AC0B7" w14:textId="77777777" w:rsidR="00417A7E" w:rsidRPr="00417A7E" w:rsidRDefault="00417A7E" w:rsidP="00417A7E">
                      <w:pPr>
                        <w:jc w:val="center"/>
                        <w:rPr>
                          <w:rFonts w:ascii="Arial" w:hAnsi="Arial" w:cs="Arial"/>
                          <w:color w:val="894115"/>
                          <w:sz w:val="32"/>
                          <w:szCs w:val="32"/>
                          <w:lang w:val="en-US"/>
                        </w:rPr>
                      </w:pPr>
                      <w:r w:rsidRPr="00417A7E">
                        <w:rPr>
                          <w:rFonts w:ascii="Arial" w:hAnsi="Arial" w:cs="Arial"/>
                          <w:color w:val="894115"/>
                          <w:sz w:val="32"/>
                          <w:szCs w:val="32"/>
                          <w:lang w:val="en-US"/>
                        </w:rPr>
                        <w:t>BY</w:t>
                      </w:r>
                    </w:p>
                    <w:p w14:paraId="11E0317B" w14:textId="77777777" w:rsidR="00417A7E" w:rsidRPr="00417A7E" w:rsidRDefault="00417A7E" w:rsidP="00417A7E">
                      <w:pPr>
                        <w:jc w:val="center"/>
                        <w:rPr>
                          <w:rFonts w:ascii="Arial" w:hAnsi="Arial" w:cs="Arial"/>
                          <w:color w:val="894115"/>
                          <w:sz w:val="32"/>
                          <w:szCs w:val="32"/>
                          <w:lang w:val="en-US"/>
                        </w:rPr>
                      </w:pPr>
                    </w:p>
                    <w:p w14:paraId="60D6FF0B" w14:textId="77777777" w:rsidR="00417A7E" w:rsidRPr="00417A7E" w:rsidRDefault="00417A7E" w:rsidP="00417A7E">
                      <w:pPr>
                        <w:jc w:val="center"/>
                        <w:rPr>
                          <w:rFonts w:ascii="Arial" w:hAnsi="Arial" w:cs="Arial"/>
                          <w:color w:val="894115"/>
                          <w:sz w:val="32"/>
                          <w:szCs w:val="32"/>
                          <w:lang w:val="en-US"/>
                        </w:rPr>
                      </w:pPr>
                      <w:r w:rsidRPr="00417A7E">
                        <w:rPr>
                          <w:rFonts w:ascii="Arial" w:hAnsi="Arial" w:cs="Arial"/>
                          <w:color w:val="894115"/>
                          <w:sz w:val="32"/>
                          <w:szCs w:val="32"/>
                          <w:lang w:val="en-US"/>
                        </w:rPr>
                        <w:t>MR. OBAKENG MOGOLE: COMMITTEE RESEARCHER</w:t>
                      </w:r>
                    </w:p>
                    <w:p w14:paraId="33032E27" w14:textId="77777777" w:rsidR="00417A7E" w:rsidRPr="00417A7E" w:rsidRDefault="00417A7E" w:rsidP="00417A7E">
                      <w:pPr>
                        <w:jc w:val="center"/>
                        <w:rPr>
                          <w:rFonts w:ascii="Arial" w:hAnsi="Arial" w:cs="Arial"/>
                          <w:color w:val="894115"/>
                          <w:sz w:val="32"/>
                          <w:szCs w:val="32"/>
                          <w:lang w:val="en-US"/>
                        </w:rPr>
                      </w:pPr>
                    </w:p>
                    <w:p w14:paraId="1C0E49E3" w14:textId="77777777" w:rsidR="00417A7E" w:rsidRPr="00417A7E" w:rsidRDefault="00417A7E" w:rsidP="00417A7E">
                      <w:pPr>
                        <w:jc w:val="center"/>
                        <w:rPr>
                          <w:rFonts w:ascii="Arial" w:hAnsi="Arial" w:cs="Arial"/>
                          <w:color w:val="894115"/>
                          <w:sz w:val="32"/>
                          <w:szCs w:val="32"/>
                          <w:lang w:val="en-US"/>
                        </w:rPr>
                      </w:pPr>
                    </w:p>
                    <w:p w14:paraId="6B355A63" w14:textId="2CA898D8" w:rsidR="00417A7E" w:rsidRPr="00417A7E" w:rsidRDefault="000F6DF8" w:rsidP="00417A7E">
                      <w:pPr>
                        <w:jc w:val="center"/>
                        <w:rPr>
                          <w:rFonts w:ascii="Arial" w:hAnsi="Arial" w:cs="Arial"/>
                          <w:color w:val="894115"/>
                          <w:sz w:val="32"/>
                          <w:szCs w:val="32"/>
                          <w:lang w:val="en-US"/>
                        </w:rPr>
                      </w:pPr>
                      <w:r>
                        <w:rPr>
                          <w:rFonts w:ascii="Arial" w:hAnsi="Arial" w:cs="Arial"/>
                          <w:color w:val="894115"/>
                          <w:sz w:val="32"/>
                          <w:szCs w:val="32"/>
                          <w:lang w:val="en-US"/>
                        </w:rPr>
                        <w:t>21 September</w:t>
                      </w:r>
                      <w:r w:rsidR="00F06A73">
                        <w:rPr>
                          <w:rFonts w:ascii="Arial" w:hAnsi="Arial" w:cs="Arial"/>
                          <w:color w:val="894115"/>
                          <w:sz w:val="32"/>
                          <w:szCs w:val="32"/>
                          <w:lang w:val="en-US"/>
                        </w:rPr>
                        <w:t xml:space="preserve"> </w:t>
                      </w:r>
                      <w:r w:rsidR="00417A7E" w:rsidRPr="00417A7E">
                        <w:rPr>
                          <w:rFonts w:ascii="Arial" w:hAnsi="Arial" w:cs="Arial"/>
                          <w:color w:val="894115"/>
                          <w:sz w:val="32"/>
                          <w:szCs w:val="32"/>
                          <w:lang w:val="en-US"/>
                        </w:rPr>
                        <w:t>202</w:t>
                      </w:r>
                      <w:r w:rsidR="00A54AAF">
                        <w:rPr>
                          <w:rFonts w:ascii="Arial" w:hAnsi="Arial" w:cs="Arial"/>
                          <w:color w:val="894115"/>
                          <w:sz w:val="32"/>
                          <w:szCs w:val="32"/>
                          <w:lang w:val="en-US"/>
                        </w:rPr>
                        <w:t>3</w:t>
                      </w:r>
                    </w:p>
                  </w:txbxContent>
                </v:textbox>
                <w10:wrap anchorx="margin"/>
              </v:shape>
            </w:pict>
          </mc:Fallback>
        </mc:AlternateContent>
      </w:r>
    </w:p>
    <w:p w14:paraId="0A579FAC" w14:textId="37D74C39" w:rsidR="00EE6442" w:rsidRDefault="00EE6442"/>
    <w:p w14:paraId="1C4DF231" w14:textId="7550FD97" w:rsidR="00EE6442" w:rsidRDefault="00EE6442"/>
    <w:p w14:paraId="3F1D881C" w14:textId="178BE27C" w:rsidR="00EE6442" w:rsidRDefault="00EE6442"/>
    <w:p w14:paraId="4C00245D" w14:textId="4A6871AB" w:rsidR="00EE6442" w:rsidRDefault="00EE6442"/>
    <w:p w14:paraId="12547E8E" w14:textId="4E87D4B1" w:rsidR="00EE6442" w:rsidRDefault="00EE6442"/>
    <w:p w14:paraId="4BF7729A" w14:textId="0D1C3311" w:rsidR="00EE6442" w:rsidRDefault="00EE6442"/>
    <w:p w14:paraId="668B0622" w14:textId="2650B5E3" w:rsidR="00F21F0E" w:rsidRDefault="00F21F0E"/>
    <w:p w14:paraId="3D42B0A4" w14:textId="427F6B81" w:rsidR="00F21F0E" w:rsidRDefault="00F21F0E"/>
    <w:p w14:paraId="2D4C0B3B" w14:textId="5957A854" w:rsidR="00F21F0E" w:rsidRDefault="00F21F0E"/>
    <w:p w14:paraId="12E18CD0" w14:textId="3AC2EE4A" w:rsidR="00F21F0E" w:rsidRDefault="00F21F0E"/>
    <w:p w14:paraId="4AB32779" w14:textId="0EA392F9" w:rsidR="00F21F0E" w:rsidRDefault="00F21F0E"/>
    <w:p w14:paraId="143F9979" w14:textId="66EF627D" w:rsidR="00F21F0E" w:rsidRDefault="00F21F0E"/>
    <w:p w14:paraId="08A243B5" w14:textId="540C389D" w:rsidR="00F21F0E" w:rsidRDefault="00F21F0E"/>
    <w:p w14:paraId="73E4D246" w14:textId="2C63AF35" w:rsidR="00F21F0E" w:rsidRDefault="00F21F0E"/>
    <w:p w14:paraId="07454DC3" w14:textId="08C4EC96" w:rsidR="00F21F0E" w:rsidRDefault="00F21F0E"/>
    <w:p w14:paraId="05B4F98F" w14:textId="0AD685DF" w:rsidR="00F21F0E" w:rsidRDefault="00F21F0E"/>
    <w:p w14:paraId="62DA61D9" w14:textId="6EE8B79E" w:rsidR="00F21F0E" w:rsidRDefault="00F21F0E"/>
    <w:p w14:paraId="37AD4840" w14:textId="77777777" w:rsidR="00417A7E" w:rsidRPr="00417A7E" w:rsidRDefault="00417A7E" w:rsidP="00417A7E">
      <w:pPr>
        <w:spacing w:line="360" w:lineRule="auto"/>
        <w:rPr>
          <w:b/>
          <w:bCs/>
          <w:lang w:val="en-US"/>
        </w:rPr>
      </w:pPr>
    </w:p>
    <w:p w14:paraId="0DB99EB6" w14:textId="77777777" w:rsidR="00417A7E" w:rsidRPr="00417A7E" w:rsidRDefault="00417A7E" w:rsidP="00417A7E">
      <w:pPr>
        <w:spacing w:line="360" w:lineRule="auto"/>
        <w:rPr>
          <w:b/>
          <w:bCs/>
          <w:lang w:val="en-US"/>
        </w:rPr>
      </w:pPr>
    </w:p>
    <w:p w14:paraId="250A6F54" w14:textId="77777777" w:rsidR="00417A7E" w:rsidRPr="00417A7E" w:rsidRDefault="00417A7E" w:rsidP="00417A7E">
      <w:pPr>
        <w:spacing w:line="360" w:lineRule="auto"/>
        <w:rPr>
          <w:b/>
          <w:bCs/>
          <w:lang w:val="en-US"/>
        </w:rPr>
      </w:pPr>
    </w:p>
    <w:p w14:paraId="1C5DC0BC" w14:textId="77777777" w:rsidR="00417A7E" w:rsidRPr="00417A7E" w:rsidRDefault="00417A7E" w:rsidP="00417A7E">
      <w:pPr>
        <w:spacing w:line="360" w:lineRule="auto"/>
        <w:rPr>
          <w:b/>
          <w:bCs/>
          <w:lang w:val="en-US"/>
        </w:rPr>
      </w:pPr>
    </w:p>
    <w:p w14:paraId="53B7B042" w14:textId="77777777" w:rsidR="00417A7E" w:rsidRPr="00417A7E" w:rsidRDefault="00417A7E" w:rsidP="00417A7E">
      <w:pPr>
        <w:spacing w:line="360" w:lineRule="auto"/>
        <w:rPr>
          <w:b/>
          <w:bCs/>
          <w:lang w:val="en-US"/>
        </w:rPr>
      </w:pPr>
    </w:p>
    <w:p w14:paraId="48F1A426" w14:textId="77777777" w:rsidR="00417A7E" w:rsidRPr="00417A7E" w:rsidRDefault="00417A7E" w:rsidP="00417A7E">
      <w:pPr>
        <w:spacing w:line="360" w:lineRule="auto"/>
        <w:rPr>
          <w:b/>
          <w:bCs/>
          <w:lang w:val="en-US"/>
        </w:rPr>
      </w:pPr>
    </w:p>
    <w:p w14:paraId="79332D47" w14:textId="77777777" w:rsidR="00417A7E" w:rsidRPr="00417A7E" w:rsidRDefault="00417A7E" w:rsidP="00417A7E">
      <w:pPr>
        <w:spacing w:line="360" w:lineRule="auto"/>
        <w:rPr>
          <w:b/>
          <w:bCs/>
          <w:lang w:val="en-US"/>
        </w:rPr>
      </w:pPr>
    </w:p>
    <w:p w14:paraId="3B5CF714" w14:textId="77777777" w:rsidR="00417A7E" w:rsidRPr="00417A7E" w:rsidRDefault="00417A7E" w:rsidP="00417A7E">
      <w:pPr>
        <w:spacing w:line="360" w:lineRule="auto"/>
        <w:rPr>
          <w:b/>
          <w:bCs/>
          <w:lang w:val="en-US"/>
        </w:rPr>
      </w:pPr>
    </w:p>
    <w:p w14:paraId="787F7E86" w14:textId="4F807986" w:rsidR="00417A7E" w:rsidRDefault="00417A7E" w:rsidP="00417A7E">
      <w:pPr>
        <w:spacing w:line="360" w:lineRule="auto"/>
        <w:rPr>
          <w:b/>
          <w:bCs/>
          <w:lang w:val="en-US"/>
        </w:rPr>
      </w:pPr>
    </w:p>
    <w:p w14:paraId="0EC2F5A8" w14:textId="427E6644" w:rsidR="00417A7E" w:rsidRDefault="00417A7E" w:rsidP="00417A7E">
      <w:pPr>
        <w:spacing w:line="360" w:lineRule="auto"/>
        <w:rPr>
          <w:b/>
          <w:bCs/>
          <w:lang w:val="en-US"/>
        </w:rPr>
      </w:pPr>
    </w:p>
    <w:p w14:paraId="06262895" w14:textId="00EF827F" w:rsidR="00417A7E" w:rsidRDefault="00417A7E" w:rsidP="00417A7E">
      <w:pPr>
        <w:spacing w:line="360" w:lineRule="auto"/>
        <w:rPr>
          <w:b/>
          <w:bCs/>
          <w:lang w:val="en-US"/>
        </w:rPr>
      </w:pPr>
    </w:p>
    <w:p w14:paraId="4E25C6BA" w14:textId="77777777" w:rsidR="00417A7E" w:rsidRPr="00417A7E" w:rsidRDefault="00417A7E" w:rsidP="00417A7E">
      <w:pPr>
        <w:spacing w:line="360" w:lineRule="auto"/>
        <w:rPr>
          <w:b/>
          <w:bCs/>
          <w:lang w:val="en-US"/>
        </w:rPr>
      </w:pPr>
    </w:p>
    <w:sdt>
      <w:sdtPr>
        <w:id w:val="1049890781"/>
        <w:docPartObj>
          <w:docPartGallery w:val="Table of Contents"/>
          <w:docPartUnique/>
        </w:docPartObj>
      </w:sdtPr>
      <w:sdtEndPr>
        <w:rPr>
          <w:b/>
          <w:bCs/>
          <w:noProof/>
        </w:rPr>
      </w:sdtEndPr>
      <w:sdtContent>
        <w:sdt>
          <w:sdtPr>
            <w:rPr>
              <w:rFonts w:asciiTheme="minorHAnsi" w:eastAsiaTheme="minorHAnsi" w:hAnsiTheme="minorHAnsi" w:cstheme="minorBidi"/>
              <w:color w:val="auto"/>
              <w:sz w:val="22"/>
              <w:szCs w:val="22"/>
              <w:lang w:val="en-ZA"/>
            </w:rPr>
            <w:id w:val="-264691639"/>
            <w:docPartObj>
              <w:docPartGallery w:val="Table of Contents"/>
              <w:docPartUnique/>
            </w:docPartObj>
          </w:sdtPr>
          <w:sdtEndPr>
            <w:rPr>
              <w:b/>
              <w:bCs/>
              <w:noProof/>
              <w:sz w:val="24"/>
              <w:szCs w:val="24"/>
            </w:rPr>
          </w:sdtEndPr>
          <w:sdtContent>
            <w:p w14:paraId="37E7BD53" w14:textId="77777777" w:rsidR="000F6DF8" w:rsidRDefault="000F6DF8" w:rsidP="000F6DF8">
              <w:pPr>
                <w:pStyle w:val="TOCHeading"/>
                <w:rPr>
                  <w:b/>
                  <w:bCs/>
                </w:rPr>
              </w:pPr>
              <w:r w:rsidRPr="00763CEB">
                <w:rPr>
                  <w:b/>
                  <w:bCs/>
                </w:rPr>
                <w:t>Table of Contents</w:t>
              </w:r>
            </w:p>
            <w:p w14:paraId="5056E115" w14:textId="77777777" w:rsidR="000F6DF8" w:rsidRPr="00763CEB" w:rsidRDefault="000F6DF8" w:rsidP="000F6DF8">
              <w:pPr>
                <w:rPr>
                  <w:sz w:val="22"/>
                  <w:szCs w:val="22"/>
                </w:rPr>
              </w:pPr>
            </w:p>
            <w:p w14:paraId="3E7AF2E7" w14:textId="70CBAD59" w:rsidR="00D70C89" w:rsidRDefault="000F6DF8">
              <w:pPr>
                <w:pStyle w:val="TOC1"/>
                <w:tabs>
                  <w:tab w:val="left" w:pos="480"/>
                  <w:tab w:val="right" w:leader="dot" w:pos="9016"/>
                </w:tabs>
                <w:rPr>
                  <w:rFonts w:eastAsiaTheme="minorEastAsia"/>
                  <w:noProof/>
                  <w:kern w:val="2"/>
                  <w:sz w:val="22"/>
                  <w:szCs w:val="22"/>
                  <w:lang w:eastAsia="en-ZA"/>
                  <w14:ligatures w14:val="standardContextual"/>
                </w:rPr>
              </w:pPr>
              <w:r>
                <w:fldChar w:fldCharType="begin"/>
              </w:r>
              <w:r>
                <w:instrText xml:space="preserve"> TOC \o "1-3" \h \z \u </w:instrText>
              </w:r>
              <w:r>
                <w:fldChar w:fldCharType="separate"/>
              </w:r>
              <w:hyperlink w:anchor="_Toc146084275" w:history="1">
                <w:r w:rsidR="00D70C89" w:rsidRPr="003829C9">
                  <w:rPr>
                    <w:rStyle w:val="Hyperlink"/>
                    <w:rFonts w:ascii="Garamond" w:eastAsiaTheme="majorEastAsia" w:hAnsi="Garamond" w:cs="Times New Roman"/>
                    <w:noProof/>
                  </w:rPr>
                  <w:t>1.</w:t>
                </w:r>
                <w:r w:rsidR="00D70C89">
                  <w:rPr>
                    <w:rFonts w:eastAsiaTheme="minorEastAsia"/>
                    <w:noProof/>
                    <w:kern w:val="2"/>
                    <w:sz w:val="22"/>
                    <w:szCs w:val="22"/>
                    <w:lang w:eastAsia="en-ZA"/>
                    <w14:ligatures w14:val="standardContextual"/>
                  </w:rPr>
                  <w:tab/>
                </w:r>
                <w:r w:rsidR="00D70C89" w:rsidRPr="003829C9">
                  <w:rPr>
                    <w:rStyle w:val="Hyperlink"/>
                    <w:rFonts w:ascii="Garamond" w:eastAsiaTheme="majorEastAsia" w:hAnsi="Garamond" w:cs="Times New Roman"/>
                    <w:noProof/>
                  </w:rPr>
                  <w:t>ABBREVIATIONS</w:t>
                </w:r>
                <w:r w:rsidR="00D70C89">
                  <w:rPr>
                    <w:noProof/>
                    <w:webHidden/>
                  </w:rPr>
                  <w:tab/>
                </w:r>
                <w:r w:rsidR="00D70C89">
                  <w:rPr>
                    <w:noProof/>
                    <w:webHidden/>
                  </w:rPr>
                  <w:fldChar w:fldCharType="begin"/>
                </w:r>
                <w:r w:rsidR="00D70C89">
                  <w:rPr>
                    <w:noProof/>
                    <w:webHidden/>
                  </w:rPr>
                  <w:instrText xml:space="preserve"> PAGEREF _Toc146084275 \h </w:instrText>
                </w:r>
                <w:r w:rsidR="00D70C89">
                  <w:rPr>
                    <w:noProof/>
                    <w:webHidden/>
                  </w:rPr>
                </w:r>
                <w:r w:rsidR="00D70C89">
                  <w:rPr>
                    <w:noProof/>
                    <w:webHidden/>
                  </w:rPr>
                  <w:fldChar w:fldCharType="separate"/>
                </w:r>
                <w:r w:rsidR="00D70C89">
                  <w:rPr>
                    <w:noProof/>
                    <w:webHidden/>
                  </w:rPr>
                  <w:t>4</w:t>
                </w:r>
                <w:r w:rsidR="00D70C89">
                  <w:rPr>
                    <w:noProof/>
                    <w:webHidden/>
                  </w:rPr>
                  <w:fldChar w:fldCharType="end"/>
                </w:r>
              </w:hyperlink>
            </w:p>
            <w:p w14:paraId="0DC55B51" w14:textId="5DE2E32B" w:rsidR="00D70C89" w:rsidRDefault="00000000">
              <w:pPr>
                <w:pStyle w:val="TOC1"/>
                <w:tabs>
                  <w:tab w:val="left" w:pos="480"/>
                  <w:tab w:val="right" w:leader="dot" w:pos="9016"/>
                </w:tabs>
                <w:rPr>
                  <w:rFonts w:eastAsiaTheme="minorEastAsia"/>
                  <w:noProof/>
                  <w:kern w:val="2"/>
                  <w:sz w:val="22"/>
                  <w:szCs w:val="22"/>
                  <w:lang w:eastAsia="en-ZA"/>
                  <w14:ligatures w14:val="standardContextual"/>
                </w:rPr>
              </w:pPr>
              <w:hyperlink w:anchor="_Toc146084276" w:history="1">
                <w:r w:rsidR="00D70C89" w:rsidRPr="003829C9">
                  <w:rPr>
                    <w:rStyle w:val="Hyperlink"/>
                    <w:rFonts w:ascii="Arial" w:eastAsia="Times New Roman" w:hAnsi="Arial" w:cs="Arial"/>
                    <w:b/>
                    <w:bCs/>
                    <w:noProof/>
                    <w:lang w:val="en-GB" w:eastAsia="ja-JP"/>
                  </w:rPr>
                  <w:t>1.</w:t>
                </w:r>
                <w:r w:rsidR="00D70C89">
                  <w:rPr>
                    <w:rFonts w:eastAsiaTheme="minorEastAsia"/>
                    <w:noProof/>
                    <w:kern w:val="2"/>
                    <w:sz w:val="22"/>
                    <w:szCs w:val="22"/>
                    <w:lang w:eastAsia="en-ZA"/>
                    <w14:ligatures w14:val="standardContextual"/>
                  </w:rPr>
                  <w:tab/>
                </w:r>
                <w:r w:rsidR="00D70C89" w:rsidRPr="003829C9">
                  <w:rPr>
                    <w:rStyle w:val="Hyperlink"/>
                    <w:rFonts w:ascii="Arial" w:eastAsia="Times New Roman" w:hAnsi="Arial" w:cs="Arial"/>
                    <w:b/>
                    <w:bCs/>
                    <w:noProof/>
                    <w:lang w:val="en-GB" w:eastAsia="ja-JP"/>
                  </w:rPr>
                  <w:t>Introduction</w:t>
                </w:r>
                <w:r w:rsidR="00D70C89">
                  <w:rPr>
                    <w:noProof/>
                    <w:webHidden/>
                  </w:rPr>
                  <w:tab/>
                </w:r>
                <w:r w:rsidR="00D70C89">
                  <w:rPr>
                    <w:noProof/>
                    <w:webHidden/>
                  </w:rPr>
                  <w:fldChar w:fldCharType="begin"/>
                </w:r>
                <w:r w:rsidR="00D70C89">
                  <w:rPr>
                    <w:noProof/>
                    <w:webHidden/>
                  </w:rPr>
                  <w:instrText xml:space="preserve"> PAGEREF _Toc146084276 \h </w:instrText>
                </w:r>
                <w:r w:rsidR="00D70C89">
                  <w:rPr>
                    <w:noProof/>
                    <w:webHidden/>
                  </w:rPr>
                </w:r>
                <w:r w:rsidR="00D70C89">
                  <w:rPr>
                    <w:noProof/>
                    <w:webHidden/>
                  </w:rPr>
                  <w:fldChar w:fldCharType="separate"/>
                </w:r>
                <w:r w:rsidR="00D70C89">
                  <w:rPr>
                    <w:noProof/>
                    <w:webHidden/>
                  </w:rPr>
                  <w:t>6</w:t>
                </w:r>
                <w:r w:rsidR="00D70C89">
                  <w:rPr>
                    <w:noProof/>
                    <w:webHidden/>
                  </w:rPr>
                  <w:fldChar w:fldCharType="end"/>
                </w:r>
              </w:hyperlink>
            </w:p>
            <w:p w14:paraId="674CEC45" w14:textId="66045977" w:rsidR="00D70C89" w:rsidRDefault="00000000">
              <w:pPr>
                <w:pStyle w:val="TOC1"/>
                <w:tabs>
                  <w:tab w:val="left" w:pos="480"/>
                  <w:tab w:val="right" w:leader="dot" w:pos="9016"/>
                </w:tabs>
                <w:rPr>
                  <w:rFonts w:eastAsiaTheme="minorEastAsia"/>
                  <w:noProof/>
                  <w:kern w:val="2"/>
                  <w:sz w:val="22"/>
                  <w:szCs w:val="22"/>
                  <w:lang w:eastAsia="en-ZA"/>
                  <w14:ligatures w14:val="standardContextual"/>
                </w:rPr>
              </w:pPr>
              <w:hyperlink w:anchor="_Toc146084277" w:history="1">
                <w:r w:rsidR="00D70C89" w:rsidRPr="003829C9">
                  <w:rPr>
                    <w:rStyle w:val="Hyperlink"/>
                    <w:rFonts w:ascii="Arial" w:eastAsia="Times New Roman" w:hAnsi="Arial" w:cs="Arial"/>
                    <w:b/>
                    <w:bCs/>
                    <w:noProof/>
                    <w:lang w:val="en-GB" w:eastAsia="ja-JP"/>
                  </w:rPr>
                  <w:t>2.</w:t>
                </w:r>
                <w:r w:rsidR="00D70C89">
                  <w:rPr>
                    <w:rFonts w:eastAsiaTheme="minorEastAsia"/>
                    <w:noProof/>
                    <w:kern w:val="2"/>
                    <w:sz w:val="22"/>
                    <w:szCs w:val="22"/>
                    <w:lang w:eastAsia="en-ZA"/>
                    <w14:ligatures w14:val="standardContextual"/>
                  </w:rPr>
                  <w:tab/>
                </w:r>
                <w:r w:rsidR="00D70C89" w:rsidRPr="003829C9">
                  <w:rPr>
                    <w:rStyle w:val="Hyperlink"/>
                    <w:rFonts w:ascii="Arial" w:eastAsia="Times New Roman" w:hAnsi="Arial" w:cs="Arial"/>
                    <w:b/>
                    <w:bCs/>
                    <w:noProof/>
                    <w:lang w:val="en-GB" w:eastAsia="ja-JP"/>
                  </w:rPr>
                  <w:t>Section: Overall assessment of the departmental Annual Report.</w:t>
                </w:r>
                <w:r w:rsidR="00D70C89">
                  <w:rPr>
                    <w:noProof/>
                    <w:webHidden/>
                  </w:rPr>
                  <w:tab/>
                </w:r>
                <w:r w:rsidR="00D70C89">
                  <w:rPr>
                    <w:noProof/>
                    <w:webHidden/>
                  </w:rPr>
                  <w:fldChar w:fldCharType="begin"/>
                </w:r>
                <w:r w:rsidR="00D70C89">
                  <w:rPr>
                    <w:noProof/>
                    <w:webHidden/>
                  </w:rPr>
                  <w:instrText xml:space="preserve"> PAGEREF _Toc146084277 \h </w:instrText>
                </w:r>
                <w:r w:rsidR="00D70C89">
                  <w:rPr>
                    <w:noProof/>
                    <w:webHidden/>
                  </w:rPr>
                </w:r>
                <w:r w:rsidR="00D70C89">
                  <w:rPr>
                    <w:noProof/>
                    <w:webHidden/>
                  </w:rPr>
                  <w:fldChar w:fldCharType="separate"/>
                </w:r>
                <w:r w:rsidR="00D70C89">
                  <w:rPr>
                    <w:noProof/>
                    <w:webHidden/>
                  </w:rPr>
                  <w:t>7</w:t>
                </w:r>
                <w:r w:rsidR="00D70C89">
                  <w:rPr>
                    <w:noProof/>
                    <w:webHidden/>
                  </w:rPr>
                  <w:fldChar w:fldCharType="end"/>
                </w:r>
              </w:hyperlink>
            </w:p>
            <w:p w14:paraId="0D10F59A" w14:textId="045123AB" w:rsidR="00D70C89" w:rsidRDefault="00000000">
              <w:pPr>
                <w:pStyle w:val="TOC1"/>
                <w:tabs>
                  <w:tab w:val="left" w:pos="480"/>
                  <w:tab w:val="right" w:leader="dot" w:pos="9016"/>
                </w:tabs>
                <w:rPr>
                  <w:rFonts w:eastAsiaTheme="minorEastAsia"/>
                  <w:noProof/>
                  <w:kern w:val="2"/>
                  <w:sz w:val="22"/>
                  <w:szCs w:val="22"/>
                  <w:lang w:eastAsia="en-ZA"/>
                  <w14:ligatures w14:val="standardContextual"/>
                </w:rPr>
              </w:pPr>
              <w:hyperlink w:anchor="_Toc146084278" w:history="1">
                <w:r w:rsidR="00D70C89" w:rsidRPr="003829C9">
                  <w:rPr>
                    <w:rStyle w:val="Hyperlink"/>
                    <w:rFonts w:ascii="Arial" w:eastAsia="Times New Roman" w:hAnsi="Arial" w:cs="Arial"/>
                    <w:b/>
                    <w:bCs/>
                    <w:noProof/>
                    <w:lang w:val="en-GB" w:eastAsia="ja-JP"/>
                  </w:rPr>
                  <w:t>3.</w:t>
                </w:r>
                <w:r w:rsidR="00D70C89">
                  <w:rPr>
                    <w:rFonts w:eastAsiaTheme="minorEastAsia"/>
                    <w:noProof/>
                    <w:kern w:val="2"/>
                    <w:sz w:val="22"/>
                    <w:szCs w:val="22"/>
                    <w:lang w:eastAsia="en-ZA"/>
                    <w14:ligatures w14:val="standardContextual"/>
                  </w:rPr>
                  <w:tab/>
                </w:r>
                <w:r w:rsidR="00D70C89" w:rsidRPr="003829C9">
                  <w:rPr>
                    <w:rStyle w:val="Hyperlink"/>
                    <w:rFonts w:ascii="Arial" w:eastAsia="Times New Roman" w:hAnsi="Arial" w:cs="Arial"/>
                    <w:b/>
                    <w:bCs/>
                    <w:noProof/>
                    <w:lang w:val="en-GB" w:eastAsia="ja-JP"/>
                  </w:rPr>
                  <w:t>Section: The Legislative and Legal Frameworks for the Analysis</w:t>
                </w:r>
                <w:r w:rsidR="00D70C89">
                  <w:rPr>
                    <w:noProof/>
                    <w:webHidden/>
                  </w:rPr>
                  <w:tab/>
                </w:r>
                <w:r w:rsidR="00D70C89">
                  <w:rPr>
                    <w:noProof/>
                    <w:webHidden/>
                  </w:rPr>
                  <w:fldChar w:fldCharType="begin"/>
                </w:r>
                <w:r w:rsidR="00D70C89">
                  <w:rPr>
                    <w:noProof/>
                    <w:webHidden/>
                  </w:rPr>
                  <w:instrText xml:space="preserve"> PAGEREF _Toc146084278 \h </w:instrText>
                </w:r>
                <w:r w:rsidR="00D70C89">
                  <w:rPr>
                    <w:noProof/>
                    <w:webHidden/>
                  </w:rPr>
                </w:r>
                <w:r w:rsidR="00D70C89">
                  <w:rPr>
                    <w:noProof/>
                    <w:webHidden/>
                  </w:rPr>
                  <w:fldChar w:fldCharType="separate"/>
                </w:r>
                <w:r w:rsidR="00D70C89">
                  <w:rPr>
                    <w:noProof/>
                    <w:webHidden/>
                  </w:rPr>
                  <w:t>9</w:t>
                </w:r>
                <w:r w:rsidR="00D70C89">
                  <w:rPr>
                    <w:noProof/>
                    <w:webHidden/>
                  </w:rPr>
                  <w:fldChar w:fldCharType="end"/>
                </w:r>
              </w:hyperlink>
            </w:p>
            <w:p w14:paraId="5EAAC2F3" w14:textId="42451C28" w:rsidR="00D70C89" w:rsidRDefault="00000000">
              <w:pPr>
                <w:pStyle w:val="TOC2"/>
                <w:tabs>
                  <w:tab w:val="left" w:pos="880"/>
                  <w:tab w:val="right" w:leader="dot" w:pos="9016"/>
                </w:tabs>
                <w:rPr>
                  <w:rFonts w:eastAsiaTheme="minorEastAsia"/>
                  <w:noProof/>
                  <w:kern w:val="2"/>
                  <w:sz w:val="22"/>
                  <w:szCs w:val="22"/>
                  <w:lang w:eastAsia="en-ZA"/>
                  <w14:ligatures w14:val="standardContextual"/>
                </w:rPr>
              </w:pPr>
              <w:hyperlink w:anchor="_Toc146084279" w:history="1">
                <w:r w:rsidR="00D70C89" w:rsidRPr="003829C9">
                  <w:rPr>
                    <w:rStyle w:val="Hyperlink"/>
                    <w:rFonts w:ascii="Arial" w:hAnsi="Arial" w:cs="Arial"/>
                    <w:b/>
                    <w:bCs/>
                    <w:noProof/>
                  </w:rPr>
                  <w:t>3.1</w:t>
                </w:r>
                <w:r w:rsidR="00D70C89">
                  <w:rPr>
                    <w:rFonts w:eastAsiaTheme="minorEastAsia"/>
                    <w:noProof/>
                    <w:kern w:val="2"/>
                    <w:sz w:val="22"/>
                    <w:szCs w:val="22"/>
                    <w:lang w:eastAsia="en-ZA"/>
                    <w14:ligatures w14:val="standardContextual"/>
                  </w:rPr>
                  <w:tab/>
                </w:r>
                <w:r w:rsidR="00D70C89" w:rsidRPr="003829C9">
                  <w:rPr>
                    <w:rStyle w:val="Hyperlink"/>
                    <w:rFonts w:ascii="Arial" w:hAnsi="Arial" w:cs="Arial"/>
                    <w:b/>
                    <w:bCs/>
                    <w:noProof/>
                  </w:rPr>
                  <w:t>The Doctrine of Separation of Powers</w:t>
                </w:r>
                <w:r w:rsidR="00D70C89">
                  <w:rPr>
                    <w:noProof/>
                    <w:webHidden/>
                  </w:rPr>
                  <w:tab/>
                </w:r>
                <w:r w:rsidR="00D70C89">
                  <w:rPr>
                    <w:noProof/>
                    <w:webHidden/>
                  </w:rPr>
                  <w:fldChar w:fldCharType="begin"/>
                </w:r>
                <w:r w:rsidR="00D70C89">
                  <w:rPr>
                    <w:noProof/>
                    <w:webHidden/>
                  </w:rPr>
                  <w:instrText xml:space="preserve"> PAGEREF _Toc146084279 \h </w:instrText>
                </w:r>
                <w:r w:rsidR="00D70C89">
                  <w:rPr>
                    <w:noProof/>
                    <w:webHidden/>
                  </w:rPr>
                </w:r>
                <w:r w:rsidR="00D70C89">
                  <w:rPr>
                    <w:noProof/>
                    <w:webHidden/>
                  </w:rPr>
                  <w:fldChar w:fldCharType="separate"/>
                </w:r>
                <w:r w:rsidR="00D70C89">
                  <w:rPr>
                    <w:noProof/>
                    <w:webHidden/>
                  </w:rPr>
                  <w:t>9</w:t>
                </w:r>
                <w:r w:rsidR="00D70C89">
                  <w:rPr>
                    <w:noProof/>
                    <w:webHidden/>
                  </w:rPr>
                  <w:fldChar w:fldCharType="end"/>
                </w:r>
              </w:hyperlink>
            </w:p>
            <w:p w14:paraId="5805D259" w14:textId="18683248" w:rsidR="00D70C89" w:rsidRDefault="00000000">
              <w:pPr>
                <w:pStyle w:val="TOC2"/>
                <w:tabs>
                  <w:tab w:val="right" w:leader="dot" w:pos="9016"/>
                </w:tabs>
                <w:rPr>
                  <w:rFonts w:eastAsiaTheme="minorEastAsia"/>
                  <w:noProof/>
                  <w:kern w:val="2"/>
                  <w:sz w:val="22"/>
                  <w:szCs w:val="22"/>
                  <w:lang w:eastAsia="en-ZA"/>
                  <w14:ligatures w14:val="standardContextual"/>
                </w:rPr>
              </w:pPr>
              <w:hyperlink w:anchor="_Toc146084280" w:history="1">
                <w:r w:rsidR="00D70C89" w:rsidRPr="003829C9">
                  <w:rPr>
                    <w:rStyle w:val="Hyperlink"/>
                    <w:rFonts w:ascii="Arial" w:hAnsi="Arial" w:cs="Arial"/>
                    <w:b/>
                    <w:bCs/>
                    <w:noProof/>
                  </w:rPr>
                  <w:t>3.2 The Constitution of the Republic of South Africa</w:t>
                </w:r>
                <w:r w:rsidR="00D70C89">
                  <w:rPr>
                    <w:noProof/>
                    <w:webHidden/>
                  </w:rPr>
                  <w:tab/>
                </w:r>
                <w:r w:rsidR="00D70C89">
                  <w:rPr>
                    <w:noProof/>
                    <w:webHidden/>
                  </w:rPr>
                  <w:fldChar w:fldCharType="begin"/>
                </w:r>
                <w:r w:rsidR="00D70C89">
                  <w:rPr>
                    <w:noProof/>
                    <w:webHidden/>
                  </w:rPr>
                  <w:instrText xml:space="preserve"> PAGEREF _Toc146084280 \h </w:instrText>
                </w:r>
                <w:r w:rsidR="00D70C89">
                  <w:rPr>
                    <w:noProof/>
                    <w:webHidden/>
                  </w:rPr>
                </w:r>
                <w:r w:rsidR="00D70C89">
                  <w:rPr>
                    <w:noProof/>
                    <w:webHidden/>
                  </w:rPr>
                  <w:fldChar w:fldCharType="separate"/>
                </w:r>
                <w:r w:rsidR="00D70C89">
                  <w:rPr>
                    <w:noProof/>
                    <w:webHidden/>
                  </w:rPr>
                  <w:t>9</w:t>
                </w:r>
                <w:r w:rsidR="00D70C89">
                  <w:rPr>
                    <w:noProof/>
                    <w:webHidden/>
                  </w:rPr>
                  <w:fldChar w:fldCharType="end"/>
                </w:r>
              </w:hyperlink>
            </w:p>
            <w:p w14:paraId="726373A6" w14:textId="5DC7BA9B" w:rsidR="00D70C89" w:rsidRDefault="00000000">
              <w:pPr>
                <w:pStyle w:val="TOC2"/>
                <w:tabs>
                  <w:tab w:val="left" w:pos="880"/>
                  <w:tab w:val="right" w:leader="dot" w:pos="9016"/>
                </w:tabs>
                <w:rPr>
                  <w:rFonts w:eastAsiaTheme="minorEastAsia"/>
                  <w:noProof/>
                  <w:kern w:val="2"/>
                  <w:sz w:val="22"/>
                  <w:szCs w:val="22"/>
                  <w:lang w:eastAsia="en-ZA"/>
                  <w14:ligatures w14:val="standardContextual"/>
                </w:rPr>
              </w:pPr>
              <w:hyperlink w:anchor="_Toc146084281" w:history="1">
                <w:r w:rsidR="00D70C89" w:rsidRPr="003829C9">
                  <w:rPr>
                    <w:rStyle w:val="Hyperlink"/>
                    <w:rFonts w:ascii="Arial" w:hAnsi="Arial" w:cs="Arial"/>
                    <w:b/>
                    <w:bCs/>
                    <w:noProof/>
                  </w:rPr>
                  <w:t>3.2</w:t>
                </w:r>
                <w:r w:rsidR="00D70C89">
                  <w:rPr>
                    <w:rFonts w:eastAsiaTheme="minorEastAsia"/>
                    <w:noProof/>
                    <w:kern w:val="2"/>
                    <w:sz w:val="22"/>
                    <w:szCs w:val="22"/>
                    <w:lang w:eastAsia="en-ZA"/>
                    <w14:ligatures w14:val="standardContextual"/>
                  </w:rPr>
                  <w:tab/>
                </w:r>
                <w:r w:rsidR="00D70C89" w:rsidRPr="003829C9">
                  <w:rPr>
                    <w:rStyle w:val="Hyperlink"/>
                    <w:rFonts w:ascii="Arial" w:hAnsi="Arial" w:cs="Arial"/>
                    <w:b/>
                    <w:bCs/>
                    <w:noProof/>
                  </w:rPr>
                  <w:t>Financial Management Act of Parliament and Provincial Legislatures</w:t>
                </w:r>
                <w:r w:rsidR="00D70C89">
                  <w:rPr>
                    <w:noProof/>
                    <w:webHidden/>
                  </w:rPr>
                  <w:tab/>
                </w:r>
                <w:r w:rsidR="00D70C89">
                  <w:rPr>
                    <w:noProof/>
                    <w:webHidden/>
                  </w:rPr>
                  <w:fldChar w:fldCharType="begin"/>
                </w:r>
                <w:r w:rsidR="00D70C89">
                  <w:rPr>
                    <w:noProof/>
                    <w:webHidden/>
                  </w:rPr>
                  <w:instrText xml:space="preserve"> PAGEREF _Toc146084281 \h </w:instrText>
                </w:r>
                <w:r w:rsidR="00D70C89">
                  <w:rPr>
                    <w:noProof/>
                    <w:webHidden/>
                  </w:rPr>
                </w:r>
                <w:r w:rsidR="00D70C89">
                  <w:rPr>
                    <w:noProof/>
                    <w:webHidden/>
                  </w:rPr>
                  <w:fldChar w:fldCharType="separate"/>
                </w:r>
                <w:r w:rsidR="00D70C89">
                  <w:rPr>
                    <w:noProof/>
                    <w:webHidden/>
                  </w:rPr>
                  <w:t>9</w:t>
                </w:r>
                <w:r w:rsidR="00D70C89">
                  <w:rPr>
                    <w:noProof/>
                    <w:webHidden/>
                  </w:rPr>
                  <w:fldChar w:fldCharType="end"/>
                </w:r>
              </w:hyperlink>
            </w:p>
            <w:p w14:paraId="6C58A6E8" w14:textId="10D5A4C5" w:rsidR="00D70C89" w:rsidRDefault="00000000">
              <w:pPr>
                <w:pStyle w:val="TOC2"/>
                <w:tabs>
                  <w:tab w:val="left" w:pos="880"/>
                  <w:tab w:val="right" w:leader="dot" w:pos="9016"/>
                </w:tabs>
                <w:rPr>
                  <w:rFonts w:eastAsiaTheme="minorEastAsia"/>
                  <w:noProof/>
                  <w:kern w:val="2"/>
                  <w:sz w:val="22"/>
                  <w:szCs w:val="22"/>
                  <w:lang w:eastAsia="en-ZA"/>
                  <w14:ligatures w14:val="standardContextual"/>
                </w:rPr>
              </w:pPr>
              <w:hyperlink w:anchor="_Toc146084282" w:history="1">
                <w:r w:rsidR="00D70C89" w:rsidRPr="003829C9">
                  <w:rPr>
                    <w:rStyle w:val="Hyperlink"/>
                    <w:rFonts w:ascii="Arial" w:hAnsi="Arial" w:cs="Arial"/>
                    <w:b/>
                    <w:bCs/>
                    <w:noProof/>
                  </w:rPr>
                  <w:t>3.3</w:t>
                </w:r>
                <w:r w:rsidR="00D70C89">
                  <w:rPr>
                    <w:rFonts w:eastAsiaTheme="minorEastAsia"/>
                    <w:noProof/>
                    <w:kern w:val="2"/>
                    <w:sz w:val="22"/>
                    <w:szCs w:val="22"/>
                    <w:lang w:eastAsia="en-ZA"/>
                    <w14:ligatures w14:val="standardContextual"/>
                  </w:rPr>
                  <w:tab/>
                </w:r>
                <w:r w:rsidR="00D70C89" w:rsidRPr="003829C9">
                  <w:rPr>
                    <w:rStyle w:val="Hyperlink"/>
                    <w:rFonts w:ascii="Arial" w:hAnsi="Arial" w:cs="Arial"/>
                    <w:b/>
                    <w:bCs/>
                    <w:noProof/>
                  </w:rPr>
                  <w:t>Legislature Sector Oversight Model</w:t>
                </w:r>
                <w:r w:rsidR="00D70C89">
                  <w:rPr>
                    <w:noProof/>
                    <w:webHidden/>
                  </w:rPr>
                  <w:tab/>
                </w:r>
                <w:r w:rsidR="00D70C89">
                  <w:rPr>
                    <w:noProof/>
                    <w:webHidden/>
                  </w:rPr>
                  <w:fldChar w:fldCharType="begin"/>
                </w:r>
                <w:r w:rsidR="00D70C89">
                  <w:rPr>
                    <w:noProof/>
                    <w:webHidden/>
                  </w:rPr>
                  <w:instrText xml:space="preserve"> PAGEREF _Toc146084282 \h </w:instrText>
                </w:r>
                <w:r w:rsidR="00D70C89">
                  <w:rPr>
                    <w:noProof/>
                    <w:webHidden/>
                  </w:rPr>
                </w:r>
                <w:r w:rsidR="00D70C89">
                  <w:rPr>
                    <w:noProof/>
                    <w:webHidden/>
                  </w:rPr>
                  <w:fldChar w:fldCharType="separate"/>
                </w:r>
                <w:r w:rsidR="00D70C89">
                  <w:rPr>
                    <w:noProof/>
                    <w:webHidden/>
                  </w:rPr>
                  <w:t>10</w:t>
                </w:r>
                <w:r w:rsidR="00D70C89">
                  <w:rPr>
                    <w:noProof/>
                    <w:webHidden/>
                  </w:rPr>
                  <w:fldChar w:fldCharType="end"/>
                </w:r>
              </w:hyperlink>
            </w:p>
            <w:p w14:paraId="2007F903" w14:textId="557EEAD8" w:rsidR="00D70C89" w:rsidRDefault="00000000">
              <w:pPr>
                <w:pStyle w:val="TOC2"/>
                <w:tabs>
                  <w:tab w:val="left" w:pos="880"/>
                  <w:tab w:val="right" w:leader="dot" w:pos="9016"/>
                </w:tabs>
                <w:rPr>
                  <w:rFonts w:eastAsiaTheme="minorEastAsia"/>
                  <w:noProof/>
                  <w:kern w:val="2"/>
                  <w:sz w:val="22"/>
                  <w:szCs w:val="22"/>
                  <w:lang w:eastAsia="en-ZA"/>
                  <w14:ligatures w14:val="standardContextual"/>
                </w:rPr>
              </w:pPr>
              <w:hyperlink w:anchor="_Toc146084283" w:history="1">
                <w:r w:rsidR="00D70C89" w:rsidRPr="003829C9">
                  <w:rPr>
                    <w:rStyle w:val="Hyperlink"/>
                    <w:rFonts w:ascii="Arial" w:hAnsi="Arial" w:cs="Arial"/>
                    <w:b/>
                    <w:bCs/>
                    <w:noProof/>
                  </w:rPr>
                  <w:t>3.4</w:t>
                </w:r>
                <w:r w:rsidR="00D70C89">
                  <w:rPr>
                    <w:rFonts w:eastAsiaTheme="minorEastAsia"/>
                    <w:noProof/>
                    <w:kern w:val="2"/>
                    <w:sz w:val="22"/>
                    <w:szCs w:val="22"/>
                    <w:lang w:eastAsia="en-ZA"/>
                    <w14:ligatures w14:val="standardContextual"/>
                  </w:rPr>
                  <w:tab/>
                </w:r>
                <w:r w:rsidR="00D70C89" w:rsidRPr="003829C9">
                  <w:rPr>
                    <w:rStyle w:val="Hyperlink"/>
                    <w:rFonts w:ascii="Arial" w:hAnsi="Arial" w:cs="Arial"/>
                    <w:b/>
                    <w:bCs/>
                    <w:noProof/>
                  </w:rPr>
                  <w:t>The Six Pillars of an Activist and Transformative Legislature</w:t>
                </w:r>
                <w:r w:rsidR="00D70C89">
                  <w:rPr>
                    <w:noProof/>
                    <w:webHidden/>
                  </w:rPr>
                  <w:tab/>
                </w:r>
                <w:r w:rsidR="00D70C89">
                  <w:rPr>
                    <w:noProof/>
                    <w:webHidden/>
                  </w:rPr>
                  <w:fldChar w:fldCharType="begin"/>
                </w:r>
                <w:r w:rsidR="00D70C89">
                  <w:rPr>
                    <w:noProof/>
                    <w:webHidden/>
                  </w:rPr>
                  <w:instrText xml:space="preserve"> PAGEREF _Toc146084283 \h </w:instrText>
                </w:r>
                <w:r w:rsidR="00D70C89">
                  <w:rPr>
                    <w:noProof/>
                    <w:webHidden/>
                  </w:rPr>
                </w:r>
                <w:r w:rsidR="00D70C89">
                  <w:rPr>
                    <w:noProof/>
                    <w:webHidden/>
                  </w:rPr>
                  <w:fldChar w:fldCharType="separate"/>
                </w:r>
                <w:r w:rsidR="00D70C89">
                  <w:rPr>
                    <w:noProof/>
                    <w:webHidden/>
                  </w:rPr>
                  <w:t>10</w:t>
                </w:r>
                <w:r w:rsidR="00D70C89">
                  <w:rPr>
                    <w:noProof/>
                    <w:webHidden/>
                  </w:rPr>
                  <w:fldChar w:fldCharType="end"/>
                </w:r>
              </w:hyperlink>
            </w:p>
            <w:p w14:paraId="6CE89CC3" w14:textId="48F88874" w:rsidR="00D70C89" w:rsidRDefault="00000000">
              <w:pPr>
                <w:pStyle w:val="TOC2"/>
                <w:tabs>
                  <w:tab w:val="right" w:leader="dot" w:pos="9016"/>
                </w:tabs>
                <w:rPr>
                  <w:rFonts w:eastAsiaTheme="minorEastAsia"/>
                  <w:noProof/>
                  <w:kern w:val="2"/>
                  <w:sz w:val="22"/>
                  <w:szCs w:val="22"/>
                  <w:lang w:eastAsia="en-ZA"/>
                  <w14:ligatures w14:val="standardContextual"/>
                </w:rPr>
              </w:pPr>
              <w:hyperlink w:anchor="_Toc146084284" w:history="1">
                <w:r w:rsidR="00D70C89" w:rsidRPr="003829C9">
                  <w:rPr>
                    <w:rStyle w:val="Hyperlink"/>
                    <w:rFonts w:ascii="Arial" w:eastAsia="Times New Roman" w:hAnsi="Arial" w:cs="Arial"/>
                    <w:b/>
                    <w:bCs/>
                    <w:noProof/>
                    <w:lang w:val="en-GB" w:eastAsia="ja-JP"/>
                  </w:rPr>
                  <w:t>3.5 Sustainable Development Goals</w:t>
                </w:r>
                <w:r w:rsidR="00D70C89">
                  <w:rPr>
                    <w:noProof/>
                    <w:webHidden/>
                  </w:rPr>
                  <w:tab/>
                </w:r>
                <w:r w:rsidR="00D70C89">
                  <w:rPr>
                    <w:noProof/>
                    <w:webHidden/>
                  </w:rPr>
                  <w:fldChar w:fldCharType="begin"/>
                </w:r>
                <w:r w:rsidR="00D70C89">
                  <w:rPr>
                    <w:noProof/>
                    <w:webHidden/>
                  </w:rPr>
                  <w:instrText xml:space="preserve"> PAGEREF _Toc146084284 \h </w:instrText>
                </w:r>
                <w:r w:rsidR="00D70C89">
                  <w:rPr>
                    <w:noProof/>
                    <w:webHidden/>
                  </w:rPr>
                </w:r>
                <w:r w:rsidR="00D70C89">
                  <w:rPr>
                    <w:noProof/>
                    <w:webHidden/>
                  </w:rPr>
                  <w:fldChar w:fldCharType="separate"/>
                </w:r>
                <w:r w:rsidR="00D70C89">
                  <w:rPr>
                    <w:noProof/>
                    <w:webHidden/>
                  </w:rPr>
                  <w:t>11</w:t>
                </w:r>
                <w:r w:rsidR="00D70C89">
                  <w:rPr>
                    <w:noProof/>
                    <w:webHidden/>
                  </w:rPr>
                  <w:fldChar w:fldCharType="end"/>
                </w:r>
              </w:hyperlink>
            </w:p>
            <w:p w14:paraId="32D2D948" w14:textId="022607CA" w:rsidR="00D70C89" w:rsidRDefault="00000000">
              <w:pPr>
                <w:pStyle w:val="TOC2"/>
                <w:tabs>
                  <w:tab w:val="right" w:leader="dot" w:pos="9016"/>
                </w:tabs>
                <w:rPr>
                  <w:rFonts w:eastAsiaTheme="minorEastAsia"/>
                  <w:noProof/>
                  <w:kern w:val="2"/>
                  <w:sz w:val="22"/>
                  <w:szCs w:val="22"/>
                  <w:lang w:eastAsia="en-ZA"/>
                  <w14:ligatures w14:val="standardContextual"/>
                </w:rPr>
              </w:pPr>
              <w:hyperlink w:anchor="_Toc146084285" w:history="1">
                <w:r w:rsidR="00D70C89" w:rsidRPr="003829C9">
                  <w:rPr>
                    <w:rStyle w:val="Hyperlink"/>
                    <w:rFonts w:ascii="Arial" w:eastAsia="Times New Roman" w:hAnsi="Arial" w:cs="Arial"/>
                    <w:b/>
                    <w:bCs/>
                    <w:noProof/>
                    <w:lang w:val="en-GB" w:eastAsia="ja-JP"/>
                  </w:rPr>
                  <w:t>3.6 Agenda 2063</w:t>
                </w:r>
                <w:r w:rsidR="00D70C89">
                  <w:rPr>
                    <w:noProof/>
                    <w:webHidden/>
                  </w:rPr>
                  <w:tab/>
                </w:r>
                <w:r w:rsidR="00D70C89">
                  <w:rPr>
                    <w:noProof/>
                    <w:webHidden/>
                  </w:rPr>
                  <w:fldChar w:fldCharType="begin"/>
                </w:r>
                <w:r w:rsidR="00D70C89">
                  <w:rPr>
                    <w:noProof/>
                    <w:webHidden/>
                  </w:rPr>
                  <w:instrText xml:space="preserve"> PAGEREF _Toc146084285 \h </w:instrText>
                </w:r>
                <w:r w:rsidR="00D70C89">
                  <w:rPr>
                    <w:noProof/>
                    <w:webHidden/>
                  </w:rPr>
                </w:r>
                <w:r w:rsidR="00D70C89">
                  <w:rPr>
                    <w:noProof/>
                    <w:webHidden/>
                  </w:rPr>
                  <w:fldChar w:fldCharType="separate"/>
                </w:r>
                <w:r w:rsidR="00D70C89">
                  <w:rPr>
                    <w:noProof/>
                    <w:webHidden/>
                  </w:rPr>
                  <w:t>12</w:t>
                </w:r>
                <w:r w:rsidR="00D70C89">
                  <w:rPr>
                    <w:noProof/>
                    <w:webHidden/>
                  </w:rPr>
                  <w:fldChar w:fldCharType="end"/>
                </w:r>
              </w:hyperlink>
            </w:p>
            <w:p w14:paraId="5DE65D1F" w14:textId="39D9A046" w:rsidR="00D70C89" w:rsidRDefault="00000000">
              <w:pPr>
                <w:pStyle w:val="TOC2"/>
                <w:tabs>
                  <w:tab w:val="right" w:leader="dot" w:pos="9016"/>
                </w:tabs>
                <w:rPr>
                  <w:rFonts w:eastAsiaTheme="minorEastAsia"/>
                  <w:noProof/>
                  <w:kern w:val="2"/>
                  <w:sz w:val="22"/>
                  <w:szCs w:val="22"/>
                  <w:lang w:eastAsia="en-ZA"/>
                  <w14:ligatures w14:val="standardContextual"/>
                </w:rPr>
              </w:pPr>
              <w:hyperlink w:anchor="_Toc146084286" w:history="1">
                <w:r w:rsidR="00D70C89" w:rsidRPr="003829C9">
                  <w:rPr>
                    <w:rStyle w:val="Hyperlink"/>
                    <w:rFonts w:ascii="Arial" w:eastAsia="Times New Roman" w:hAnsi="Arial" w:cs="Arial"/>
                    <w:b/>
                    <w:bCs/>
                    <w:noProof/>
                    <w:lang w:val="en-GB" w:eastAsia="ja-JP"/>
                  </w:rPr>
                  <w:t>3.7 National Development Plan</w:t>
                </w:r>
                <w:r w:rsidR="00D70C89">
                  <w:rPr>
                    <w:noProof/>
                    <w:webHidden/>
                  </w:rPr>
                  <w:tab/>
                </w:r>
                <w:r w:rsidR="00D70C89">
                  <w:rPr>
                    <w:noProof/>
                    <w:webHidden/>
                  </w:rPr>
                  <w:fldChar w:fldCharType="begin"/>
                </w:r>
                <w:r w:rsidR="00D70C89">
                  <w:rPr>
                    <w:noProof/>
                    <w:webHidden/>
                  </w:rPr>
                  <w:instrText xml:space="preserve"> PAGEREF _Toc146084286 \h </w:instrText>
                </w:r>
                <w:r w:rsidR="00D70C89">
                  <w:rPr>
                    <w:noProof/>
                    <w:webHidden/>
                  </w:rPr>
                </w:r>
                <w:r w:rsidR="00D70C89">
                  <w:rPr>
                    <w:noProof/>
                    <w:webHidden/>
                  </w:rPr>
                  <w:fldChar w:fldCharType="separate"/>
                </w:r>
                <w:r w:rsidR="00D70C89">
                  <w:rPr>
                    <w:noProof/>
                    <w:webHidden/>
                  </w:rPr>
                  <w:t>12</w:t>
                </w:r>
                <w:r w:rsidR="00D70C89">
                  <w:rPr>
                    <w:noProof/>
                    <w:webHidden/>
                  </w:rPr>
                  <w:fldChar w:fldCharType="end"/>
                </w:r>
              </w:hyperlink>
            </w:p>
            <w:p w14:paraId="698F506A" w14:textId="71992FE4" w:rsidR="00D70C89" w:rsidRDefault="00000000">
              <w:pPr>
                <w:pStyle w:val="TOC1"/>
                <w:tabs>
                  <w:tab w:val="left" w:pos="480"/>
                  <w:tab w:val="right" w:leader="dot" w:pos="9016"/>
                </w:tabs>
                <w:rPr>
                  <w:rFonts w:eastAsiaTheme="minorEastAsia"/>
                  <w:noProof/>
                  <w:kern w:val="2"/>
                  <w:sz w:val="22"/>
                  <w:szCs w:val="22"/>
                  <w:lang w:eastAsia="en-ZA"/>
                  <w14:ligatures w14:val="standardContextual"/>
                </w:rPr>
              </w:pPr>
              <w:hyperlink w:anchor="_Toc146084287" w:history="1">
                <w:r w:rsidR="00D70C89" w:rsidRPr="003829C9">
                  <w:rPr>
                    <w:rStyle w:val="Hyperlink"/>
                    <w:rFonts w:eastAsia="Times New Roman"/>
                    <w:b/>
                    <w:bCs/>
                    <w:noProof/>
                    <w:lang w:eastAsia="ja-JP"/>
                  </w:rPr>
                  <w:t>4.</w:t>
                </w:r>
                <w:r w:rsidR="00D70C89">
                  <w:rPr>
                    <w:rFonts w:eastAsiaTheme="minorEastAsia"/>
                    <w:noProof/>
                    <w:kern w:val="2"/>
                    <w:sz w:val="22"/>
                    <w:szCs w:val="22"/>
                    <w:lang w:eastAsia="en-ZA"/>
                    <w14:ligatures w14:val="standardContextual"/>
                  </w:rPr>
                  <w:tab/>
                </w:r>
                <w:r w:rsidR="00D70C89" w:rsidRPr="003829C9">
                  <w:rPr>
                    <w:rStyle w:val="Hyperlink"/>
                    <w:rFonts w:ascii="Arial" w:eastAsia="Times New Roman" w:hAnsi="Arial" w:cs="Arial"/>
                    <w:b/>
                    <w:bCs/>
                    <w:noProof/>
                    <w:lang w:val="en-GB" w:eastAsia="ja-JP"/>
                  </w:rPr>
                  <w:t>SECTION: MACRO ANALYSIS</w:t>
                </w:r>
                <w:r w:rsidR="00D70C89" w:rsidRPr="003829C9">
                  <w:rPr>
                    <w:rStyle w:val="Hyperlink"/>
                    <w:rFonts w:eastAsia="Times New Roman"/>
                    <w:noProof/>
                    <w:lang w:val="en-GB" w:eastAsia="ja-JP"/>
                  </w:rPr>
                  <w:t>.</w:t>
                </w:r>
                <w:r w:rsidR="00D70C89">
                  <w:rPr>
                    <w:noProof/>
                    <w:webHidden/>
                  </w:rPr>
                  <w:tab/>
                </w:r>
                <w:r w:rsidR="00D70C89">
                  <w:rPr>
                    <w:noProof/>
                    <w:webHidden/>
                  </w:rPr>
                  <w:fldChar w:fldCharType="begin"/>
                </w:r>
                <w:r w:rsidR="00D70C89">
                  <w:rPr>
                    <w:noProof/>
                    <w:webHidden/>
                  </w:rPr>
                  <w:instrText xml:space="preserve"> PAGEREF _Toc146084287 \h </w:instrText>
                </w:r>
                <w:r w:rsidR="00D70C89">
                  <w:rPr>
                    <w:noProof/>
                    <w:webHidden/>
                  </w:rPr>
                </w:r>
                <w:r w:rsidR="00D70C89">
                  <w:rPr>
                    <w:noProof/>
                    <w:webHidden/>
                  </w:rPr>
                  <w:fldChar w:fldCharType="separate"/>
                </w:r>
                <w:r w:rsidR="00D70C89">
                  <w:rPr>
                    <w:noProof/>
                    <w:webHidden/>
                  </w:rPr>
                  <w:t>13</w:t>
                </w:r>
                <w:r w:rsidR="00D70C89">
                  <w:rPr>
                    <w:noProof/>
                    <w:webHidden/>
                  </w:rPr>
                  <w:fldChar w:fldCharType="end"/>
                </w:r>
              </w:hyperlink>
            </w:p>
            <w:p w14:paraId="3A0CF0C3" w14:textId="3FDCBB82" w:rsidR="00D70C89" w:rsidRDefault="00000000">
              <w:pPr>
                <w:pStyle w:val="TOC2"/>
                <w:tabs>
                  <w:tab w:val="right" w:leader="dot" w:pos="9016"/>
                </w:tabs>
                <w:rPr>
                  <w:rFonts w:eastAsiaTheme="minorEastAsia"/>
                  <w:noProof/>
                  <w:kern w:val="2"/>
                  <w:sz w:val="22"/>
                  <w:szCs w:val="22"/>
                  <w:lang w:eastAsia="en-ZA"/>
                  <w14:ligatures w14:val="standardContextual"/>
                </w:rPr>
              </w:pPr>
              <w:hyperlink w:anchor="_Toc146084288" w:history="1">
                <w:r w:rsidR="00D70C89" w:rsidRPr="003829C9">
                  <w:rPr>
                    <w:rStyle w:val="Hyperlink"/>
                    <w:rFonts w:ascii="Arial" w:hAnsi="Arial" w:cs="Arial"/>
                    <w:b/>
                    <w:bCs/>
                    <w:noProof/>
                  </w:rPr>
                  <w:t>4.1Programme one: Leadership and Governance</w:t>
                </w:r>
                <w:r w:rsidR="00D70C89">
                  <w:rPr>
                    <w:noProof/>
                    <w:webHidden/>
                  </w:rPr>
                  <w:tab/>
                </w:r>
                <w:r w:rsidR="00D70C89">
                  <w:rPr>
                    <w:noProof/>
                    <w:webHidden/>
                  </w:rPr>
                  <w:fldChar w:fldCharType="begin"/>
                </w:r>
                <w:r w:rsidR="00D70C89">
                  <w:rPr>
                    <w:noProof/>
                    <w:webHidden/>
                  </w:rPr>
                  <w:instrText xml:space="preserve"> PAGEREF _Toc146084288 \h </w:instrText>
                </w:r>
                <w:r w:rsidR="00D70C89">
                  <w:rPr>
                    <w:noProof/>
                    <w:webHidden/>
                  </w:rPr>
                </w:r>
                <w:r w:rsidR="00D70C89">
                  <w:rPr>
                    <w:noProof/>
                    <w:webHidden/>
                  </w:rPr>
                  <w:fldChar w:fldCharType="separate"/>
                </w:r>
                <w:r w:rsidR="00D70C89">
                  <w:rPr>
                    <w:noProof/>
                    <w:webHidden/>
                  </w:rPr>
                  <w:t>13</w:t>
                </w:r>
                <w:r w:rsidR="00D70C89">
                  <w:rPr>
                    <w:noProof/>
                    <w:webHidden/>
                  </w:rPr>
                  <w:fldChar w:fldCharType="end"/>
                </w:r>
              </w:hyperlink>
            </w:p>
            <w:p w14:paraId="1D7D4527" w14:textId="3DDA0B40" w:rsidR="00D70C89" w:rsidRDefault="00000000">
              <w:pPr>
                <w:pStyle w:val="TOC3"/>
                <w:tabs>
                  <w:tab w:val="right" w:leader="dot" w:pos="9016"/>
                </w:tabs>
                <w:rPr>
                  <w:rFonts w:eastAsiaTheme="minorEastAsia"/>
                  <w:noProof/>
                  <w:kern w:val="2"/>
                  <w:sz w:val="22"/>
                  <w:szCs w:val="22"/>
                  <w:lang w:eastAsia="en-ZA"/>
                  <w14:ligatures w14:val="standardContextual"/>
                </w:rPr>
              </w:pPr>
              <w:hyperlink w:anchor="_Toc146084289" w:history="1">
                <w:r w:rsidR="00D70C89" w:rsidRPr="003829C9">
                  <w:rPr>
                    <w:rStyle w:val="Hyperlink"/>
                    <w:rFonts w:ascii="Arial" w:hAnsi="Arial" w:cs="Arial"/>
                    <w:b/>
                    <w:bCs/>
                    <w:noProof/>
                  </w:rPr>
                  <w:t>4.1.1 Strategic Objective One:  Improved Accountability by the Executive to the Legislature in respect of service delivery</w:t>
                </w:r>
                <w:r w:rsidR="00D70C89">
                  <w:rPr>
                    <w:noProof/>
                    <w:webHidden/>
                  </w:rPr>
                  <w:tab/>
                </w:r>
                <w:r w:rsidR="00D70C89">
                  <w:rPr>
                    <w:noProof/>
                    <w:webHidden/>
                  </w:rPr>
                  <w:fldChar w:fldCharType="begin"/>
                </w:r>
                <w:r w:rsidR="00D70C89">
                  <w:rPr>
                    <w:noProof/>
                    <w:webHidden/>
                  </w:rPr>
                  <w:instrText xml:space="preserve"> PAGEREF _Toc146084289 \h </w:instrText>
                </w:r>
                <w:r w:rsidR="00D70C89">
                  <w:rPr>
                    <w:noProof/>
                    <w:webHidden/>
                  </w:rPr>
                </w:r>
                <w:r w:rsidR="00D70C89">
                  <w:rPr>
                    <w:noProof/>
                    <w:webHidden/>
                  </w:rPr>
                  <w:fldChar w:fldCharType="separate"/>
                </w:r>
                <w:r w:rsidR="00D70C89">
                  <w:rPr>
                    <w:noProof/>
                    <w:webHidden/>
                  </w:rPr>
                  <w:t>14</w:t>
                </w:r>
                <w:r w:rsidR="00D70C89">
                  <w:rPr>
                    <w:noProof/>
                    <w:webHidden/>
                  </w:rPr>
                  <w:fldChar w:fldCharType="end"/>
                </w:r>
              </w:hyperlink>
            </w:p>
            <w:p w14:paraId="69D2BA9D" w14:textId="7ADEB51B" w:rsidR="00D70C89" w:rsidRDefault="00000000">
              <w:pPr>
                <w:pStyle w:val="TOC3"/>
                <w:tabs>
                  <w:tab w:val="right" w:leader="dot" w:pos="9016"/>
                </w:tabs>
                <w:rPr>
                  <w:rFonts w:eastAsiaTheme="minorEastAsia"/>
                  <w:noProof/>
                  <w:kern w:val="2"/>
                  <w:sz w:val="22"/>
                  <w:szCs w:val="22"/>
                  <w:lang w:eastAsia="en-ZA"/>
                  <w14:ligatures w14:val="standardContextual"/>
                </w:rPr>
              </w:pPr>
              <w:hyperlink w:anchor="_Toc146084290" w:history="1">
                <w:r w:rsidR="00D70C89" w:rsidRPr="003829C9">
                  <w:rPr>
                    <w:rStyle w:val="Hyperlink"/>
                    <w:rFonts w:ascii="Arial" w:hAnsi="Arial" w:cs="Arial"/>
                    <w:b/>
                    <w:bCs/>
                    <w:noProof/>
                  </w:rPr>
                  <w:t>4.1.2 Strategic Objective Two: Improved responsiveness of laws to meet the needs of the people</w:t>
                </w:r>
                <w:r w:rsidR="00D70C89">
                  <w:rPr>
                    <w:noProof/>
                    <w:webHidden/>
                  </w:rPr>
                  <w:tab/>
                </w:r>
                <w:r w:rsidR="00D70C89">
                  <w:rPr>
                    <w:noProof/>
                    <w:webHidden/>
                  </w:rPr>
                  <w:fldChar w:fldCharType="begin"/>
                </w:r>
                <w:r w:rsidR="00D70C89">
                  <w:rPr>
                    <w:noProof/>
                    <w:webHidden/>
                  </w:rPr>
                  <w:instrText xml:space="preserve"> PAGEREF _Toc146084290 \h </w:instrText>
                </w:r>
                <w:r w:rsidR="00D70C89">
                  <w:rPr>
                    <w:noProof/>
                    <w:webHidden/>
                  </w:rPr>
                </w:r>
                <w:r w:rsidR="00D70C89">
                  <w:rPr>
                    <w:noProof/>
                    <w:webHidden/>
                  </w:rPr>
                  <w:fldChar w:fldCharType="separate"/>
                </w:r>
                <w:r w:rsidR="00D70C89">
                  <w:rPr>
                    <w:noProof/>
                    <w:webHidden/>
                  </w:rPr>
                  <w:t>14</w:t>
                </w:r>
                <w:r w:rsidR="00D70C89">
                  <w:rPr>
                    <w:noProof/>
                    <w:webHidden/>
                  </w:rPr>
                  <w:fldChar w:fldCharType="end"/>
                </w:r>
              </w:hyperlink>
            </w:p>
            <w:p w14:paraId="544E03E2" w14:textId="79407D8E" w:rsidR="00D70C89" w:rsidRDefault="00000000">
              <w:pPr>
                <w:pStyle w:val="TOC3"/>
                <w:tabs>
                  <w:tab w:val="right" w:leader="dot" w:pos="9016"/>
                </w:tabs>
                <w:rPr>
                  <w:rFonts w:eastAsiaTheme="minorEastAsia"/>
                  <w:noProof/>
                  <w:kern w:val="2"/>
                  <w:sz w:val="22"/>
                  <w:szCs w:val="22"/>
                  <w:lang w:eastAsia="en-ZA"/>
                  <w14:ligatures w14:val="standardContextual"/>
                </w:rPr>
              </w:pPr>
              <w:hyperlink w:anchor="_Toc146084291" w:history="1">
                <w:r w:rsidR="00D70C89" w:rsidRPr="003829C9">
                  <w:rPr>
                    <w:rStyle w:val="Hyperlink"/>
                    <w:rFonts w:ascii="Arial" w:hAnsi="Arial" w:cs="Arial"/>
                    <w:b/>
                    <w:bCs/>
                    <w:noProof/>
                  </w:rPr>
                  <w:t>4.1.3 Strategic Objective Four: Improved alignment and collaboration between organs of state</w:t>
                </w:r>
                <w:r w:rsidR="00D70C89">
                  <w:rPr>
                    <w:noProof/>
                    <w:webHidden/>
                  </w:rPr>
                  <w:tab/>
                </w:r>
                <w:r w:rsidR="00D70C89">
                  <w:rPr>
                    <w:noProof/>
                    <w:webHidden/>
                  </w:rPr>
                  <w:fldChar w:fldCharType="begin"/>
                </w:r>
                <w:r w:rsidR="00D70C89">
                  <w:rPr>
                    <w:noProof/>
                    <w:webHidden/>
                  </w:rPr>
                  <w:instrText xml:space="preserve"> PAGEREF _Toc146084291 \h </w:instrText>
                </w:r>
                <w:r w:rsidR="00D70C89">
                  <w:rPr>
                    <w:noProof/>
                    <w:webHidden/>
                  </w:rPr>
                </w:r>
                <w:r w:rsidR="00D70C89">
                  <w:rPr>
                    <w:noProof/>
                    <w:webHidden/>
                  </w:rPr>
                  <w:fldChar w:fldCharType="separate"/>
                </w:r>
                <w:r w:rsidR="00D70C89">
                  <w:rPr>
                    <w:noProof/>
                    <w:webHidden/>
                  </w:rPr>
                  <w:t>14</w:t>
                </w:r>
                <w:r w:rsidR="00D70C89">
                  <w:rPr>
                    <w:noProof/>
                    <w:webHidden/>
                  </w:rPr>
                  <w:fldChar w:fldCharType="end"/>
                </w:r>
              </w:hyperlink>
            </w:p>
            <w:p w14:paraId="4FF7CFB0" w14:textId="00A00BF0" w:rsidR="00D70C89" w:rsidRDefault="00000000">
              <w:pPr>
                <w:pStyle w:val="TOC3"/>
                <w:tabs>
                  <w:tab w:val="right" w:leader="dot" w:pos="9016"/>
                </w:tabs>
                <w:rPr>
                  <w:rFonts w:eastAsiaTheme="minorEastAsia"/>
                  <w:noProof/>
                  <w:kern w:val="2"/>
                  <w:sz w:val="22"/>
                  <w:szCs w:val="22"/>
                  <w:lang w:eastAsia="en-ZA"/>
                  <w14:ligatures w14:val="standardContextual"/>
                </w:rPr>
              </w:pPr>
              <w:hyperlink w:anchor="_Toc146084292" w:history="1">
                <w:r w:rsidR="00D70C89" w:rsidRPr="003829C9">
                  <w:rPr>
                    <w:rStyle w:val="Hyperlink"/>
                    <w:rFonts w:ascii="Arial" w:hAnsi="Arial" w:cs="Arial"/>
                    <w:b/>
                    <w:bCs/>
                    <w:noProof/>
                  </w:rPr>
                  <w:t>4.1.4 Strategic Objective Five: Enhanced compliance with all relevant fiduciary requirements and principles of good governance</w:t>
                </w:r>
                <w:r w:rsidR="00D70C89">
                  <w:rPr>
                    <w:noProof/>
                    <w:webHidden/>
                  </w:rPr>
                  <w:tab/>
                </w:r>
                <w:r w:rsidR="00D70C89">
                  <w:rPr>
                    <w:noProof/>
                    <w:webHidden/>
                  </w:rPr>
                  <w:fldChar w:fldCharType="begin"/>
                </w:r>
                <w:r w:rsidR="00D70C89">
                  <w:rPr>
                    <w:noProof/>
                    <w:webHidden/>
                  </w:rPr>
                  <w:instrText xml:space="preserve"> PAGEREF _Toc146084292 \h </w:instrText>
                </w:r>
                <w:r w:rsidR="00D70C89">
                  <w:rPr>
                    <w:noProof/>
                    <w:webHidden/>
                  </w:rPr>
                </w:r>
                <w:r w:rsidR="00D70C89">
                  <w:rPr>
                    <w:noProof/>
                    <w:webHidden/>
                  </w:rPr>
                  <w:fldChar w:fldCharType="separate"/>
                </w:r>
                <w:r w:rsidR="00D70C89">
                  <w:rPr>
                    <w:noProof/>
                    <w:webHidden/>
                  </w:rPr>
                  <w:t>14</w:t>
                </w:r>
                <w:r w:rsidR="00D70C89">
                  <w:rPr>
                    <w:noProof/>
                    <w:webHidden/>
                  </w:rPr>
                  <w:fldChar w:fldCharType="end"/>
                </w:r>
              </w:hyperlink>
            </w:p>
            <w:p w14:paraId="70E783ED" w14:textId="5EB16CC9" w:rsidR="00D70C89" w:rsidRDefault="00000000">
              <w:pPr>
                <w:pStyle w:val="TOC1"/>
                <w:tabs>
                  <w:tab w:val="right" w:leader="dot" w:pos="9016"/>
                </w:tabs>
                <w:rPr>
                  <w:rFonts w:eastAsiaTheme="minorEastAsia"/>
                  <w:noProof/>
                  <w:kern w:val="2"/>
                  <w:sz w:val="22"/>
                  <w:szCs w:val="22"/>
                  <w:lang w:eastAsia="en-ZA"/>
                  <w14:ligatures w14:val="standardContextual"/>
                </w:rPr>
              </w:pPr>
              <w:hyperlink w:anchor="_Toc146084293" w:history="1">
                <w:r w:rsidR="00D70C89" w:rsidRPr="003829C9">
                  <w:rPr>
                    <w:rStyle w:val="Hyperlink"/>
                    <w:rFonts w:ascii="Arial" w:hAnsi="Arial" w:cs="Arial"/>
                    <w:b/>
                    <w:bCs/>
                    <w:noProof/>
                  </w:rPr>
                  <w:t>4.2 Programme Two: Office of the Secretary</w:t>
                </w:r>
                <w:r w:rsidR="00D70C89">
                  <w:rPr>
                    <w:noProof/>
                    <w:webHidden/>
                  </w:rPr>
                  <w:tab/>
                </w:r>
                <w:r w:rsidR="00D70C89">
                  <w:rPr>
                    <w:noProof/>
                    <w:webHidden/>
                  </w:rPr>
                  <w:fldChar w:fldCharType="begin"/>
                </w:r>
                <w:r w:rsidR="00D70C89">
                  <w:rPr>
                    <w:noProof/>
                    <w:webHidden/>
                  </w:rPr>
                  <w:instrText xml:space="preserve"> PAGEREF _Toc146084293 \h </w:instrText>
                </w:r>
                <w:r w:rsidR="00D70C89">
                  <w:rPr>
                    <w:noProof/>
                    <w:webHidden/>
                  </w:rPr>
                </w:r>
                <w:r w:rsidR="00D70C89">
                  <w:rPr>
                    <w:noProof/>
                    <w:webHidden/>
                  </w:rPr>
                  <w:fldChar w:fldCharType="separate"/>
                </w:r>
                <w:r w:rsidR="00D70C89">
                  <w:rPr>
                    <w:noProof/>
                    <w:webHidden/>
                  </w:rPr>
                  <w:t>15</w:t>
                </w:r>
                <w:r w:rsidR="00D70C89">
                  <w:rPr>
                    <w:noProof/>
                    <w:webHidden/>
                  </w:rPr>
                  <w:fldChar w:fldCharType="end"/>
                </w:r>
              </w:hyperlink>
            </w:p>
            <w:p w14:paraId="7CBD1800" w14:textId="4BBB1DF2" w:rsidR="00D70C89" w:rsidRDefault="00000000">
              <w:pPr>
                <w:pStyle w:val="TOC2"/>
                <w:tabs>
                  <w:tab w:val="right" w:leader="dot" w:pos="9016"/>
                </w:tabs>
                <w:rPr>
                  <w:rFonts w:eastAsiaTheme="minorEastAsia"/>
                  <w:noProof/>
                  <w:kern w:val="2"/>
                  <w:sz w:val="22"/>
                  <w:szCs w:val="22"/>
                  <w:lang w:eastAsia="en-ZA"/>
                  <w14:ligatures w14:val="standardContextual"/>
                </w:rPr>
              </w:pPr>
              <w:hyperlink w:anchor="_Toc146084294" w:history="1">
                <w:r w:rsidR="00D70C89" w:rsidRPr="003829C9">
                  <w:rPr>
                    <w:rStyle w:val="Hyperlink"/>
                    <w:rFonts w:ascii="Arial" w:hAnsi="Arial" w:cs="Arial"/>
                    <w:b/>
                    <w:bCs/>
                    <w:noProof/>
                  </w:rPr>
                  <w:t>4.2.1 Strategic Objective Five: Enhanced compliance with relevant fiduciary requirements and principles of good governance</w:t>
                </w:r>
                <w:r w:rsidR="00D70C89">
                  <w:rPr>
                    <w:noProof/>
                    <w:webHidden/>
                  </w:rPr>
                  <w:tab/>
                </w:r>
                <w:r w:rsidR="00D70C89">
                  <w:rPr>
                    <w:noProof/>
                    <w:webHidden/>
                  </w:rPr>
                  <w:fldChar w:fldCharType="begin"/>
                </w:r>
                <w:r w:rsidR="00D70C89">
                  <w:rPr>
                    <w:noProof/>
                    <w:webHidden/>
                  </w:rPr>
                  <w:instrText xml:space="preserve"> PAGEREF _Toc146084294 \h </w:instrText>
                </w:r>
                <w:r w:rsidR="00D70C89">
                  <w:rPr>
                    <w:noProof/>
                    <w:webHidden/>
                  </w:rPr>
                </w:r>
                <w:r w:rsidR="00D70C89">
                  <w:rPr>
                    <w:noProof/>
                    <w:webHidden/>
                  </w:rPr>
                  <w:fldChar w:fldCharType="separate"/>
                </w:r>
                <w:r w:rsidR="00D70C89">
                  <w:rPr>
                    <w:noProof/>
                    <w:webHidden/>
                  </w:rPr>
                  <w:t>15</w:t>
                </w:r>
                <w:r w:rsidR="00D70C89">
                  <w:rPr>
                    <w:noProof/>
                    <w:webHidden/>
                  </w:rPr>
                  <w:fldChar w:fldCharType="end"/>
                </w:r>
              </w:hyperlink>
            </w:p>
            <w:p w14:paraId="7D4EB068" w14:textId="6CFD63A4" w:rsidR="00D70C89" w:rsidRDefault="00000000">
              <w:pPr>
                <w:pStyle w:val="TOC1"/>
                <w:tabs>
                  <w:tab w:val="right" w:leader="dot" w:pos="9016"/>
                </w:tabs>
                <w:rPr>
                  <w:rFonts w:eastAsiaTheme="minorEastAsia"/>
                  <w:noProof/>
                  <w:kern w:val="2"/>
                  <w:sz w:val="22"/>
                  <w:szCs w:val="22"/>
                  <w:lang w:eastAsia="en-ZA"/>
                  <w14:ligatures w14:val="standardContextual"/>
                </w:rPr>
              </w:pPr>
              <w:hyperlink w:anchor="_Toc146084295" w:history="1">
                <w:r w:rsidR="00D70C89" w:rsidRPr="003829C9">
                  <w:rPr>
                    <w:rStyle w:val="Hyperlink"/>
                    <w:rFonts w:ascii="Arial" w:hAnsi="Arial" w:cs="Arial"/>
                    <w:b/>
                    <w:bCs/>
                    <w:noProof/>
                  </w:rPr>
                  <w:t>4.3 Programme Three: Corporate Support Services</w:t>
                </w:r>
                <w:r w:rsidR="00D70C89">
                  <w:rPr>
                    <w:noProof/>
                    <w:webHidden/>
                  </w:rPr>
                  <w:tab/>
                </w:r>
                <w:r w:rsidR="00D70C89">
                  <w:rPr>
                    <w:noProof/>
                    <w:webHidden/>
                  </w:rPr>
                  <w:fldChar w:fldCharType="begin"/>
                </w:r>
                <w:r w:rsidR="00D70C89">
                  <w:rPr>
                    <w:noProof/>
                    <w:webHidden/>
                  </w:rPr>
                  <w:instrText xml:space="preserve"> PAGEREF _Toc146084295 \h </w:instrText>
                </w:r>
                <w:r w:rsidR="00D70C89">
                  <w:rPr>
                    <w:noProof/>
                    <w:webHidden/>
                  </w:rPr>
                </w:r>
                <w:r w:rsidR="00D70C89">
                  <w:rPr>
                    <w:noProof/>
                    <w:webHidden/>
                  </w:rPr>
                  <w:fldChar w:fldCharType="separate"/>
                </w:r>
                <w:r w:rsidR="00D70C89">
                  <w:rPr>
                    <w:noProof/>
                    <w:webHidden/>
                  </w:rPr>
                  <w:t>16</w:t>
                </w:r>
                <w:r w:rsidR="00D70C89">
                  <w:rPr>
                    <w:noProof/>
                    <w:webHidden/>
                  </w:rPr>
                  <w:fldChar w:fldCharType="end"/>
                </w:r>
              </w:hyperlink>
            </w:p>
            <w:p w14:paraId="4ED28216" w14:textId="385FA450" w:rsidR="00D70C89" w:rsidRDefault="00000000">
              <w:pPr>
                <w:pStyle w:val="TOC2"/>
                <w:tabs>
                  <w:tab w:val="right" w:leader="dot" w:pos="9016"/>
                </w:tabs>
                <w:rPr>
                  <w:rFonts w:eastAsiaTheme="minorEastAsia"/>
                  <w:noProof/>
                  <w:kern w:val="2"/>
                  <w:sz w:val="22"/>
                  <w:szCs w:val="22"/>
                  <w:lang w:eastAsia="en-ZA"/>
                  <w14:ligatures w14:val="standardContextual"/>
                </w:rPr>
              </w:pPr>
              <w:hyperlink w:anchor="_Toc146084296" w:history="1">
                <w:r w:rsidR="00D70C89" w:rsidRPr="003829C9">
                  <w:rPr>
                    <w:rStyle w:val="Hyperlink"/>
                    <w:rFonts w:ascii="Arial" w:hAnsi="Arial" w:cs="Arial"/>
                    <w:b/>
                    <w:bCs/>
                    <w:noProof/>
                  </w:rPr>
                  <w:t>4.3.1. Strategic Objective Five: Enhanced compliance with relevant fiduciary requirements and principles of good governance</w:t>
                </w:r>
                <w:r w:rsidR="00D70C89">
                  <w:rPr>
                    <w:noProof/>
                    <w:webHidden/>
                  </w:rPr>
                  <w:tab/>
                </w:r>
                <w:r w:rsidR="00D70C89">
                  <w:rPr>
                    <w:noProof/>
                    <w:webHidden/>
                  </w:rPr>
                  <w:fldChar w:fldCharType="begin"/>
                </w:r>
                <w:r w:rsidR="00D70C89">
                  <w:rPr>
                    <w:noProof/>
                    <w:webHidden/>
                  </w:rPr>
                  <w:instrText xml:space="preserve"> PAGEREF _Toc146084296 \h </w:instrText>
                </w:r>
                <w:r w:rsidR="00D70C89">
                  <w:rPr>
                    <w:noProof/>
                    <w:webHidden/>
                  </w:rPr>
                </w:r>
                <w:r w:rsidR="00D70C89">
                  <w:rPr>
                    <w:noProof/>
                    <w:webHidden/>
                  </w:rPr>
                  <w:fldChar w:fldCharType="separate"/>
                </w:r>
                <w:r w:rsidR="00D70C89">
                  <w:rPr>
                    <w:noProof/>
                    <w:webHidden/>
                  </w:rPr>
                  <w:t>17</w:t>
                </w:r>
                <w:r w:rsidR="00D70C89">
                  <w:rPr>
                    <w:noProof/>
                    <w:webHidden/>
                  </w:rPr>
                  <w:fldChar w:fldCharType="end"/>
                </w:r>
              </w:hyperlink>
            </w:p>
            <w:p w14:paraId="7CD56D04" w14:textId="48EA979C" w:rsidR="00D70C89" w:rsidRDefault="00000000">
              <w:pPr>
                <w:pStyle w:val="TOC1"/>
                <w:tabs>
                  <w:tab w:val="right" w:leader="dot" w:pos="9016"/>
                </w:tabs>
                <w:rPr>
                  <w:rFonts w:eastAsiaTheme="minorEastAsia"/>
                  <w:noProof/>
                  <w:kern w:val="2"/>
                  <w:sz w:val="22"/>
                  <w:szCs w:val="22"/>
                  <w:lang w:eastAsia="en-ZA"/>
                  <w14:ligatures w14:val="standardContextual"/>
                </w:rPr>
              </w:pPr>
              <w:hyperlink w:anchor="_Toc146084297" w:history="1">
                <w:r w:rsidR="00D70C89" w:rsidRPr="003829C9">
                  <w:rPr>
                    <w:rStyle w:val="Hyperlink"/>
                    <w:rFonts w:ascii="Arial" w:hAnsi="Arial" w:cs="Arial"/>
                    <w:b/>
                    <w:bCs/>
                    <w:noProof/>
                  </w:rPr>
                  <w:t>4.4 Programme Four: Core Business</w:t>
                </w:r>
                <w:r w:rsidR="00D70C89">
                  <w:rPr>
                    <w:noProof/>
                    <w:webHidden/>
                  </w:rPr>
                  <w:tab/>
                </w:r>
                <w:r w:rsidR="00D70C89">
                  <w:rPr>
                    <w:noProof/>
                    <w:webHidden/>
                  </w:rPr>
                  <w:fldChar w:fldCharType="begin"/>
                </w:r>
                <w:r w:rsidR="00D70C89">
                  <w:rPr>
                    <w:noProof/>
                    <w:webHidden/>
                  </w:rPr>
                  <w:instrText xml:space="preserve"> PAGEREF _Toc146084297 \h </w:instrText>
                </w:r>
                <w:r w:rsidR="00D70C89">
                  <w:rPr>
                    <w:noProof/>
                    <w:webHidden/>
                  </w:rPr>
                </w:r>
                <w:r w:rsidR="00D70C89">
                  <w:rPr>
                    <w:noProof/>
                    <w:webHidden/>
                  </w:rPr>
                  <w:fldChar w:fldCharType="separate"/>
                </w:r>
                <w:r w:rsidR="00D70C89">
                  <w:rPr>
                    <w:noProof/>
                    <w:webHidden/>
                  </w:rPr>
                  <w:t>17</w:t>
                </w:r>
                <w:r w:rsidR="00D70C89">
                  <w:rPr>
                    <w:noProof/>
                    <w:webHidden/>
                  </w:rPr>
                  <w:fldChar w:fldCharType="end"/>
                </w:r>
              </w:hyperlink>
            </w:p>
            <w:p w14:paraId="22C4294B" w14:textId="1D8834A2" w:rsidR="00D70C89" w:rsidRDefault="00000000">
              <w:pPr>
                <w:pStyle w:val="TOC2"/>
                <w:tabs>
                  <w:tab w:val="right" w:leader="dot" w:pos="9016"/>
                </w:tabs>
                <w:rPr>
                  <w:rFonts w:eastAsiaTheme="minorEastAsia"/>
                  <w:noProof/>
                  <w:kern w:val="2"/>
                  <w:sz w:val="22"/>
                  <w:szCs w:val="22"/>
                  <w:lang w:eastAsia="en-ZA"/>
                  <w14:ligatures w14:val="standardContextual"/>
                </w:rPr>
              </w:pPr>
              <w:hyperlink w:anchor="_Toc146084298" w:history="1">
                <w:r w:rsidR="00D70C89" w:rsidRPr="003829C9">
                  <w:rPr>
                    <w:rStyle w:val="Hyperlink"/>
                    <w:rFonts w:ascii="Arial" w:hAnsi="Arial" w:cs="Arial"/>
                    <w:b/>
                    <w:bCs/>
                    <w:noProof/>
                  </w:rPr>
                  <w:t>4.4.1 Strategic Objective One: Improved Accountability by the Executive to the Legislature in respect of service delivery</w:t>
                </w:r>
                <w:r w:rsidR="00D70C89">
                  <w:rPr>
                    <w:noProof/>
                    <w:webHidden/>
                  </w:rPr>
                  <w:tab/>
                </w:r>
                <w:r w:rsidR="00D70C89">
                  <w:rPr>
                    <w:noProof/>
                    <w:webHidden/>
                  </w:rPr>
                  <w:fldChar w:fldCharType="begin"/>
                </w:r>
                <w:r w:rsidR="00D70C89">
                  <w:rPr>
                    <w:noProof/>
                    <w:webHidden/>
                  </w:rPr>
                  <w:instrText xml:space="preserve"> PAGEREF _Toc146084298 \h </w:instrText>
                </w:r>
                <w:r w:rsidR="00D70C89">
                  <w:rPr>
                    <w:noProof/>
                    <w:webHidden/>
                  </w:rPr>
                </w:r>
                <w:r w:rsidR="00D70C89">
                  <w:rPr>
                    <w:noProof/>
                    <w:webHidden/>
                  </w:rPr>
                  <w:fldChar w:fldCharType="separate"/>
                </w:r>
                <w:r w:rsidR="00D70C89">
                  <w:rPr>
                    <w:noProof/>
                    <w:webHidden/>
                  </w:rPr>
                  <w:t>18</w:t>
                </w:r>
                <w:r w:rsidR="00D70C89">
                  <w:rPr>
                    <w:noProof/>
                    <w:webHidden/>
                  </w:rPr>
                  <w:fldChar w:fldCharType="end"/>
                </w:r>
              </w:hyperlink>
            </w:p>
            <w:p w14:paraId="5A70D904" w14:textId="3F87EDA3" w:rsidR="00D70C89" w:rsidRDefault="00000000">
              <w:pPr>
                <w:pStyle w:val="TOC2"/>
                <w:tabs>
                  <w:tab w:val="right" w:leader="dot" w:pos="9016"/>
                </w:tabs>
                <w:rPr>
                  <w:rFonts w:eastAsiaTheme="minorEastAsia"/>
                  <w:noProof/>
                  <w:kern w:val="2"/>
                  <w:sz w:val="22"/>
                  <w:szCs w:val="22"/>
                  <w:lang w:eastAsia="en-ZA"/>
                  <w14:ligatures w14:val="standardContextual"/>
                </w:rPr>
              </w:pPr>
              <w:hyperlink w:anchor="_Toc146084299" w:history="1">
                <w:r w:rsidR="00D70C89" w:rsidRPr="003829C9">
                  <w:rPr>
                    <w:rStyle w:val="Hyperlink"/>
                    <w:rFonts w:ascii="Arial" w:hAnsi="Arial" w:cs="Arial"/>
                    <w:b/>
                    <w:bCs/>
                    <w:noProof/>
                  </w:rPr>
                  <w:t>4.4.2 Strategic Objective Two: Improved responsiveness of laws to meet the needs of the people.</w:t>
                </w:r>
                <w:r w:rsidR="00D70C89">
                  <w:rPr>
                    <w:noProof/>
                    <w:webHidden/>
                  </w:rPr>
                  <w:tab/>
                </w:r>
                <w:r w:rsidR="00D70C89">
                  <w:rPr>
                    <w:noProof/>
                    <w:webHidden/>
                  </w:rPr>
                  <w:fldChar w:fldCharType="begin"/>
                </w:r>
                <w:r w:rsidR="00D70C89">
                  <w:rPr>
                    <w:noProof/>
                    <w:webHidden/>
                  </w:rPr>
                  <w:instrText xml:space="preserve"> PAGEREF _Toc146084299 \h </w:instrText>
                </w:r>
                <w:r w:rsidR="00D70C89">
                  <w:rPr>
                    <w:noProof/>
                    <w:webHidden/>
                  </w:rPr>
                </w:r>
                <w:r w:rsidR="00D70C89">
                  <w:rPr>
                    <w:noProof/>
                    <w:webHidden/>
                  </w:rPr>
                  <w:fldChar w:fldCharType="separate"/>
                </w:r>
                <w:r w:rsidR="00D70C89">
                  <w:rPr>
                    <w:noProof/>
                    <w:webHidden/>
                  </w:rPr>
                  <w:t>18</w:t>
                </w:r>
                <w:r w:rsidR="00D70C89">
                  <w:rPr>
                    <w:noProof/>
                    <w:webHidden/>
                  </w:rPr>
                  <w:fldChar w:fldCharType="end"/>
                </w:r>
              </w:hyperlink>
            </w:p>
            <w:p w14:paraId="36426630" w14:textId="2CC562C7" w:rsidR="00D70C89" w:rsidRDefault="00000000">
              <w:pPr>
                <w:pStyle w:val="TOC1"/>
                <w:tabs>
                  <w:tab w:val="right" w:leader="dot" w:pos="9016"/>
                </w:tabs>
                <w:rPr>
                  <w:rFonts w:eastAsiaTheme="minorEastAsia"/>
                  <w:noProof/>
                  <w:kern w:val="2"/>
                  <w:sz w:val="22"/>
                  <w:szCs w:val="22"/>
                  <w:lang w:eastAsia="en-ZA"/>
                  <w14:ligatures w14:val="standardContextual"/>
                </w:rPr>
              </w:pPr>
              <w:hyperlink w:anchor="_Toc146084300" w:history="1">
                <w:r w:rsidR="00D70C89" w:rsidRPr="003829C9">
                  <w:rPr>
                    <w:rStyle w:val="Hyperlink"/>
                    <w:rFonts w:ascii="Arial" w:hAnsi="Arial" w:cs="Arial"/>
                    <w:b/>
                    <w:bCs/>
                    <w:noProof/>
                  </w:rPr>
                  <w:t>4.5 Programme Five: Chief Financial Officer</w:t>
                </w:r>
                <w:r w:rsidR="00D70C89">
                  <w:rPr>
                    <w:noProof/>
                    <w:webHidden/>
                  </w:rPr>
                  <w:tab/>
                </w:r>
                <w:r w:rsidR="00D70C89">
                  <w:rPr>
                    <w:noProof/>
                    <w:webHidden/>
                  </w:rPr>
                  <w:fldChar w:fldCharType="begin"/>
                </w:r>
                <w:r w:rsidR="00D70C89">
                  <w:rPr>
                    <w:noProof/>
                    <w:webHidden/>
                  </w:rPr>
                  <w:instrText xml:space="preserve"> PAGEREF _Toc146084300 \h </w:instrText>
                </w:r>
                <w:r w:rsidR="00D70C89">
                  <w:rPr>
                    <w:noProof/>
                    <w:webHidden/>
                  </w:rPr>
                </w:r>
                <w:r w:rsidR="00D70C89">
                  <w:rPr>
                    <w:noProof/>
                    <w:webHidden/>
                  </w:rPr>
                  <w:fldChar w:fldCharType="separate"/>
                </w:r>
                <w:r w:rsidR="00D70C89">
                  <w:rPr>
                    <w:noProof/>
                    <w:webHidden/>
                  </w:rPr>
                  <w:t>19</w:t>
                </w:r>
                <w:r w:rsidR="00D70C89">
                  <w:rPr>
                    <w:noProof/>
                    <w:webHidden/>
                  </w:rPr>
                  <w:fldChar w:fldCharType="end"/>
                </w:r>
              </w:hyperlink>
            </w:p>
            <w:p w14:paraId="2C572352" w14:textId="05873B0F" w:rsidR="00D70C89" w:rsidRDefault="00000000">
              <w:pPr>
                <w:pStyle w:val="TOC2"/>
                <w:tabs>
                  <w:tab w:val="right" w:leader="dot" w:pos="9016"/>
                </w:tabs>
                <w:rPr>
                  <w:rFonts w:eastAsiaTheme="minorEastAsia"/>
                  <w:noProof/>
                  <w:kern w:val="2"/>
                  <w:sz w:val="22"/>
                  <w:szCs w:val="22"/>
                  <w:lang w:eastAsia="en-ZA"/>
                  <w14:ligatures w14:val="standardContextual"/>
                </w:rPr>
              </w:pPr>
              <w:hyperlink w:anchor="_Toc146084301" w:history="1">
                <w:r w:rsidR="00D70C89" w:rsidRPr="003829C9">
                  <w:rPr>
                    <w:rStyle w:val="Hyperlink"/>
                    <w:rFonts w:ascii="Arial" w:hAnsi="Arial" w:cs="Arial"/>
                    <w:b/>
                    <w:bCs/>
                    <w:noProof/>
                  </w:rPr>
                  <w:t>4.5.1 Strategic Objective Five: Enhanced compliance with all relevant fiduciary requirements and principles of good governance.</w:t>
                </w:r>
                <w:r w:rsidR="00D70C89">
                  <w:rPr>
                    <w:noProof/>
                    <w:webHidden/>
                  </w:rPr>
                  <w:tab/>
                </w:r>
                <w:r w:rsidR="00D70C89">
                  <w:rPr>
                    <w:noProof/>
                    <w:webHidden/>
                  </w:rPr>
                  <w:fldChar w:fldCharType="begin"/>
                </w:r>
                <w:r w:rsidR="00D70C89">
                  <w:rPr>
                    <w:noProof/>
                    <w:webHidden/>
                  </w:rPr>
                  <w:instrText xml:space="preserve"> PAGEREF _Toc146084301 \h </w:instrText>
                </w:r>
                <w:r w:rsidR="00D70C89">
                  <w:rPr>
                    <w:noProof/>
                    <w:webHidden/>
                  </w:rPr>
                </w:r>
                <w:r w:rsidR="00D70C89">
                  <w:rPr>
                    <w:noProof/>
                    <w:webHidden/>
                  </w:rPr>
                  <w:fldChar w:fldCharType="separate"/>
                </w:r>
                <w:r w:rsidR="00D70C89">
                  <w:rPr>
                    <w:noProof/>
                    <w:webHidden/>
                  </w:rPr>
                  <w:t>19</w:t>
                </w:r>
                <w:r w:rsidR="00D70C89">
                  <w:rPr>
                    <w:noProof/>
                    <w:webHidden/>
                  </w:rPr>
                  <w:fldChar w:fldCharType="end"/>
                </w:r>
              </w:hyperlink>
            </w:p>
            <w:p w14:paraId="25F2B923" w14:textId="2578DD55" w:rsidR="00D70C89" w:rsidRDefault="00000000">
              <w:pPr>
                <w:pStyle w:val="TOC1"/>
                <w:tabs>
                  <w:tab w:val="left" w:pos="480"/>
                  <w:tab w:val="right" w:leader="dot" w:pos="9016"/>
                </w:tabs>
                <w:rPr>
                  <w:rFonts w:eastAsiaTheme="minorEastAsia"/>
                  <w:noProof/>
                  <w:kern w:val="2"/>
                  <w:sz w:val="22"/>
                  <w:szCs w:val="22"/>
                  <w:lang w:eastAsia="en-ZA"/>
                  <w14:ligatures w14:val="standardContextual"/>
                </w:rPr>
              </w:pPr>
              <w:hyperlink w:anchor="_Toc146084302" w:history="1">
                <w:r w:rsidR="00D70C89" w:rsidRPr="003829C9">
                  <w:rPr>
                    <w:rStyle w:val="Hyperlink"/>
                    <w:rFonts w:ascii="Arial" w:eastAsia="Times New Roman" w:hAnsi="Arial" w:cs="Arial"/>
                    <w:b/>
                    <w:bCs/>
                    <w:noProof/>
                    <w:lang w:eastAsia="ja-JP"/>
                  </w:rPr>
                  <w:t>5.</w:t>
                </w:r>
                <w:r w:rsidR="00D70C89">
                  <w:rPr>
                    <w:rFonts w:eastAsiaTheme="minorEastAsia"/>
                    <w:noProof/>
                    <w:kern w:val="2"/>
                    <w:sz w:val="22"/>
                    <w:szCs w:val="22"/>
                    <w:lang w:eastAsia="en-ZA"/>
                    <w14:ligatures w14:val="standardContextual"/>
                  </w:rPr>
                  <w:tab/>
                </w:r>
                <w:r w:rsidR="00D70C89" w:rsidRPr="003829C9">
                  <w:rPr>
                    <w:rStyle w:val="Hyperlink"/>
                    <w:rFonts w:ascii="Arial" w:eastAsia="Times New Roman" w:hAnsi="Arial" w:cs="Arial"/>
                    <w:b/>
                    <w:bCs/>
                    <w:noProof/>
                    <w:lang w:val="en-GB" w:eastAsia="ja-JP"/>
                  </w:rPr>
                  <w:t>SECTION: MICRO ANALYSIS</w:t>
                </w:r>
                <w:r w:rsidR="00D70C89">
                  <w:rPr>
                    <w:noProof/>
                    <w:webHidden/>
                  </w:rPr>
                  <w:tab/>
                </w:r>
                <w:r w:rsidR="00D70C89">
                  <w:rPr>
                    <w:noProof/>
                    <w:webHidden/>
                  </w:rPr>
                  <w:fldChar w:fldCharType="begin"/>
                </w:r>
                <w:r w:rsidR="00D70C89">
                  <w:rPr>
                    <w:noProof/>
                    <w:webHidden/>
                  </w:rPr>
                  <w:instrText xml:space="preserve"> PAGEREF _Toc146084302 \h </w:instrText>
                </w:r>
                <w:r w:rsidR="00D70C89">
                  <w:rPr>
                    <w:noProof/>
                    <w:webHidden/>
                  </w:rPr>
                </w:r>
                <w:r w:rsidR="00D70C89">
                  <w:rPr>
                    <w:noProof/>
                    <w:webHidden/>
                  </w:rPr>
                  <w:fldChar w:fldCharType="separate"/>
                </w:r>
                <w:r w:rsidR="00D70C89">
                  <w:rPr>
                    <w:noProof/>
                    <w:webHidden/>
                  </w:rPr>
                  <w:t>21</w:t>
                </w:r>
                <w:r w:rsidR="00D70C89">
                  <w:rPr>
                    <w:noProof/>
                    <w:webHidden/>
                  </w:rPr>
                  <w:fldChar w:fldCharType="end"/>
                </w:r>
              </w:hyperlink>
            </w:p>
            <w:p w14:paraId="6BB53DF7" w14:textId="6FD93528" w:rsidR="00D70C89" w:rsidRDefault="00000000">
              <w:pPr>
                <w:pStyle w:val="TOC1"/>
                <w:tabs>
                  <w:tab w:val="left" w:pos="480"/>
                  <w:tab w:val="right" w:leader="dot" w:pos="9016"/>
                </w:tabs>
                <w:rPr>
                  <w:rFonts w:eastAsiaTheme="minorEastAsia"/>
                  <w:noProof/>
                  <w:kern w:val="2"/>
                  <w:sz w:val="22"/>
                  <w:szCs w:val="22"/>
                  <w:lang w:eastAsia="en-ZA"/>
                  <w14:ligatures w14:val="standardContextual"/>
                </w:rPr>
              </w:pPr>
              <w:hyperlink w:anchor="_Toc146084303" w:history="1">
                <w:r w:rsidR="00D70C89" w:rsidRPr="003829C9">
                  <w:rPr>
                    <w:rStyle w:val="Hyperlink"/>
                    <w:rFonts w:ascii="Arial" w:eastAsia="Times New Roman" w:hAnsi="Arial" w:cs="Arial"/>
                    <w:b/>
                    <w:bCs/>
                    <w:noProof/>
                    <w:lang w:val="en-CA" w:eastAsia="ja-JP"/>
                  </w:rPr>
                  <w:t>6.</w:t>
                </w:r>
                <w:r w:rsidR="00D70C89">
                  <w:rPr>
                    <w:rFonts w:eastAsiaTheme="minorEastAsia"/>
                    <w:noProof/>
                    <w:kern w:val="2"/>
                    <w:sz w:val="22"/>
                    <w:szCs w:val="22"/>
                    <w:lang w:eastAsia="en-ZA"/>
                    <w14:ligatures w14:val="standardContextual"/>
                  </w:rPr>
                  <w:tab/>
                </w:r>
                <w:r w:rsidR="00D70C89" w:rsidRPr="003829C9">
                  <w:rPr>
                    <w:rStyle w:val="Hyperlink"/>
                    <w:rFonts w:ascii="Arial" w:eastAsia="Times New Roman" w:hAnsi="Arial" w:cs="Arial"/>
                    <w:b/>
                    <w:bCs/>
                    <w:noProof/>
                    <w:lang w:val="en-GB" w:eastAsia="ja-JP"/>
                  </w:rPr>
                  <w:t>Section: The Auditor General’s Report: Gauteng Provincial Legislature</w:t>
                </w:r>
                <w:r w:rsidR="00D70C89">
                  <w:rPr>
                    <w:noProof/>
                    <w:webHidden/>
                  </w:rPr>
                  <w:tab/>
                </w:r>
                <w:r w:rsidR="00D70C89">
                  <w:rPr>
                    <w:noProof/>
                    <w:webHidden/>
                  </w:rPr>
                  <w:fldChar w:fldCharType="begin"/>
                </w:r>
                <w:r w:rsidR="00D70C89">
                  <w:rPr>
                    <w:noProof/>
                    <w:webHidden/>
                  </w:rPr>
                  <w:instrText xml:space="preserve"> PAGEREF _Toc146084303 \h </w:instrText>
                </w:r>
                <w:r w:rsidR="00D70C89">
                  <w:rPr>
                    <w:noProof/>
                    <w:webHidden/>
                  </w:rPr>
                </w:r>
                <w:r w:rsidR="00D70C89">
                  <w:rPr>
                    <w:noProof/>
                    <w:webHidden/>
                  </w:rPr>
                  <w:fldChar w:fldCharType="separate"/>
                </w:r>
                <w:r w:rsidR="00D70C89">
                  <w:rPr>
                    <w:noProof/>
                    <w:webHidden/>
                  </w:rPr>
                  <w:t>22</w:t>
                </w:r>
                <w:r w:rsidR="00D70C89">
                  <w:rPr>
                    <w:noProof/>
                    <w:webHidden/>
                  </w:rPr>
                  <w:fldChar w:fldCharType="end"/>
                </w:r>
              </w:hyperlink>
            </w:p>
            <w:p w14:paraId="23172D29" w14:textId="2F5D4A82" w:rsidR="00D70C89" w:rsidRDefault="00000000">
              <w:pPr>
                <w:pStyle w:val="TOC3"/>
                <w:tabs>
                  <w:tab w:val="left" w:pos="1100"/>
                  <w:tab w:val="right" w:leader="dot" w:pos="9016"/>
                </w:tabs>
                <w:rPr>
                  <w:rFonts w:eastAsiaTheme="minorEastAsia"/>
                  <w:noProof/>
                  <w:kern w:val="2"/>
                  <w:sz w:val="22"/>
                  <w:szCs w:val="22"/>
                  <w:lang w:eastAsia="en-ZA"/>
                  <w14:ligatures w14:val="standardContextual"/>
                </w:rPr>
              </w:pPr>
              <w:hyperlink w:anchor="_Toc146084304" w:history="1">
                <w:r w:rsidR="00D70C89" w:rsidRPr="003829C9">
                  <w:rPr>
                    <w:rStyle w:val="Hyperlink"/>
                    <w:rFonts w:ascii="Arial" w:eastAsiaTheme="majorEastAsia" w:hAnsi="Arial" w:cs="Arial"/>
                    <w:noProof/>
                  </w:rPr>
                  <w:t>a)</w:t>
                </w:r>
                <w:r w:rsidR="00D70C89">
                  <w:rPr>
                    <w:rFonts w:eastAsiaTheme="minorEastAsia"/>
                    <w:noProof/>
                    <w:kern w:val="2"/>
                    <w:sz w:val="22"/>
                    <w:szCs w:val="22"/>
                    <w:lang w:eastAsia="en-ZA"/>
                    <w14:ligatures w14:val="standardContextual"/>
                  </w:rPr>
                  <w:tab/>
                </w:r>
                <w:r w:rsidR="00D70C89" w:rsidRPr="003829C9">
                  <w:rPr>
                    <w:rStyle w:val="Hyperlink"/>
                    <w:rFonts w:ascii="Arial" w:eastAsiaTheme="majorEastAsia" w:hAnsi="Arial" w:cs="Arial"/>
                    <w:noProof/>
                  </w:rPr>
                  <w:t>Significant emphasis of matters</w:t>
                </w:r>
                <w:r w:rsidR="00D70C89">
                  <w:rPr>
                    <w:noProof/>
                    <w:webHidden/>
                  </w:rPr>
                  <w:tab/>
                </w:r>
                <w:r w:rsidR="00D70C89">
                  <w:rPr>
                    <w:noProof/>
                    <w:webHidden/>
                  </w:rPr>
                  <w:fldChar w:fldCharType="begin"/>
                </w:r>
                <w:r w:rsidR="00D70C89">
                  <w:rPr>
                    <w:noProof/>
                    <w:webHidden/>
                  </w:rPr>
                  <w:instrText xml:space="preserve"> PAGEREF _Toc146084304 \h </w:instrText>
                </w:r>
                <w:r w:rsidR="00D70C89">
                  <w:rPr>
                    <w:noProof/>
                    <w:webHidden/>
                  </w:rPr>
                </w:r>
                <w:r w:rsidR="00D70C89">
                  <w:rPr>
                    <w:noProof/>
                    <w:webHidden/>
                  </w:rPr>
                  <w:fldChar w:fldCharType="separate"/>
                </w:r>
                <w:r w:rsidR="00D70C89">
                  <w:rPr>
                    <w:noProof/>
                    <w:webHidden/>
                  </w:rPr>
                  <w:t>22</w:t>
                </w:r>
                <w:r w:rsidR="00D70C89">
                  <w:rPr>
                    <w:noProof/>
                    <w:webHidden/>
                  </w:rPr>
                  <w:fldChar w:fldCharType="end"/>
                </w:r>
              </w:hyperlink>
            </w:p>
            <w:p w14:paraId="4B2C3E42" w14:textId="3BE29E60" w:rsidR="00D70C89" w:rsidRDefault="00000000">
              <w:pPr>
                <w:pStyle w:val="TOC1"/>
                <w:tabs>
                  <w:tab w:val="left" w:pos="480"/>
                  <w:tab w:val="right" w:leader="dot" w:pos="9016"/>
                </w:tabs>
                <w:rPr>
                  <w:rFonts w:eastAsiaTheme="minorEastAsia"/>
                  <w:noProof/>
                  <w:kern w:val="2"/>
                  <w:sz w:val="22"/>
                  <w:szCs w:val="22"/>
                  <w:lang w:eastAsia="en-ZA"/>
                  <w14:ligatures w14:val="standardContextual"/>
                </w:rPr>
              </w:pPr>
              <w:hyperlink w:anchor="_Toc146084305" w:history="1">
                <w:r w:rsidR="00D70C89" w:rsidRPr="003829C9">
                  <w:rPr>
                    <w:rStyle w:val="Hyperlink"/>
                    <w:rFonts w:ascii="Arial" w:eastAsia="Times New Roman" w:hAnsi="Arial" w:cs="Arial"/>
                    <w:b/>
                    <w:bCs/>
                    <w:noProof/>
                    <w:lang w:val="en-US" w:eastAsia="ja-JP"/>
                  </w:rPr>
                  <w:t>7.</w:t>
                </w:r>
                <w:r w:rsidR="00D70C89">
                  <w:rPr>
                    <w:rFonts w:eastAsiaTheme="minorEastAsia"/>
                    <w:noProof/>
                    <w:kern w:val="2"/>
                    <w:sz w:val="22"/>
                    <w:szCs w:val="22"/>
                    <w:lang w:eastAsia="en-ZA"/>
                    <w14:ligatures w14:val="standardContextual"/>
                  </w:rPr>
                  <w:tab/>
                </w:r>
                <w:r w:rsidR="00D70C89" w:rsidRPr="003829C9">
                  <w:rPr>
                    <w:rStyle w:val="Hyperlink"/>
                    <w:rFonts w:ascii="Arial" w:eastAsia="Times New Roman" w:hAnsi="Arial" w:cs="Arial"/>
                    <w:b/>
                    <w:bCs/>
                    <w:noProof/>
                    <w:lang w:val="en-GB" w:eastAsia="ja-JP"/>
                  </w:rPr>
                  <w:t>Section:  Q</w:t>
                </w:r>
                <w:r w:rsidR="00D70C89" w:rsidRPr="003829C9">
                  <w:rPr>
                    <w:rStyle w:val="Hyperlink"/>
                    <w:rFonts w:ascii="Arial" w:eastAsia="Times New Roman" w:hAnsi="Arial" w:cs="Arial"/>
                    <w:b/>
                    <w:bCs/>
                    <w:noProof/>
                    <w:lang w:val="en-US" w:eastAsia="ja-JP"/>
                  </w:rPr>
                  <w:t>uestions to be Addressed by Department(s)</w:t>
                </w:r>
                <w:r w:rsidR="00D70C89">
                  <w:rPr>
                    <w:noProof/>
                    <w:webHidden/>
                  </w:rPr>
                  <w:tab/>
                </w:r>
                <w:r w:rsidR="00D70C89">
                  <w:rPr>
                    <w:noProof/>
                    <w:webHidden/>
                  </w:rPr>
                  <w:fldChar w:fldCharType="begin"/>
                </w:r>
                <w:r w:rsidR="00D70C89">
                  <w:rPr>
                    <w:noProof/>
                    <w:webHidden/>
                  </w:rPr>
                  <w:instrText xml:space="preserve"> PAGEREF _Toc146084305 \h </w:instrText>
                </w:r>
                <w:r w:rsidR="00D70C89">
                  <w:rPr>
                    <w:noProof/>
                    <w:webHidden/>
                  </w:rPr>
                </w:r>
                <w:r w:rsidR="00D70C89">
                  <w:rPr>
                    <w:noProof/>
                    <w:webHidden/>
                  </w:rPr>
                  <w:fldChar w:fldCharType="separate"/>
                </w:r>
                <w:r w:rsidR="00D70C89">
                  <w:rPr>
                    <w:noProof/>
                    <w:webHidden/>
                  </w:rPr>
                  <w:t>23</w:t>
                </w:r>
                <w:r w:rsidR="00D70C89">
                  <w:rPr>
                    <w:noProof/>
                    <w:webHidden/>
                  </w:rPr>
                  <w:fldChar w:fldCharType="end"/>
                </w:r>
              </w:hyperlink>
            </w:p>
            <w:p w14:paraId="146C6BB5" w14:textId="7B5D44F0" w:rsidR="000F6DF8" w:rsidRDefault="000F6DF8" w:rsidP="000F6DF8">
              <w:r>
                <w:rPr>
                  <w:b/>
                  <w:bCs/>
                  <w:noProof/>
                </w:rPr>
                <w:fldChar w:fldCharType="end"/>
              </w:r>
            </w:p>
          </w:sdtContent>
        </w:sdt>
        <w:p w14:paraId="1E6CB381" w14:textId="77777777" w:rsidR="000F6DF8" w:rsidRPr="00196D4F" w:rsidRDefault="000F6DF8" w:rsidP="000F6DF8">
          <w:pPr>
            <w:spacing w:line="360" w:lineRule="auto"/>
            <w:rPr>
              <w:rFonts w:ascii="Arial" w:eastAsia="Times New Roman" w:hAnsi="Arial" w:cs="Arial"/>
              <w:b/>
              <w:caps/>
            </w:rPr>
          </w:pPr>
        </w:p>
        <w:p w14:paraId="5EAC27BF" w14:textId="4B2F30E8" w:rsidR="000F6DF8" w:rsidRDefault="000F6DF8" w:rsidP="00417A7E">
          <w:pPr>
            <w:keepNext/>
            <w:keepLines/>
            <w:spacing w:before="240" w:line="259" w:lineRule="auto"/>
          </w:pPr>
        </w:p>
        <w:p w14:paraId="652F4CE6" w14:textId="77777777" w:rsidR="000F6DF8" w:rsidRDefault="00000000" w:rsidP="000F6DF8">
          <w:pPr>
            <w:pStyle w:val="TOCHeading"/>
            <w:rPr>
              <w:b/>
              <w:bCs/>
              <w:noProof/>
            </w:rPr>
          </w:pPr>
        </w:p>
      </w:sdtContent>
    </w:sdt>
    <w:p w14:paraId="176AD57F" w14:textId="77777777" w:rsidR="000F6DF8" w:rsidRDefault="000F6DF8" w:rsidP="000F6DF8">
      <w:pPr>
        <w:pStyle w:val="TOCHeading"/>
        <w:rPr>
          <w:sz w:val="22"/>
          <w:szCs w:val="22"/>
        </w:rPr>
      </w:pPr>
      <w:r w:rsidRPr="000F6DF8">
        <w:rPr>
          <w:sz w:val="22"/>
          <w:szCs w:val="22"/>
        </w:rPr>
        <w:t xml:space="preserve"> </w:t>
      </w:r>
    </w:p>
    <w:p w14:paraId="48BE9533" w14:textId="77777777" w:rsidR="000F6DF8" w:rsidRPr="00196D4F" w:rsidRDefault="000F6DF8" w:rsidP="000F6DF8">
      <w:pPr>
        <w:spacing w:line="360" w:lineRule="auto"/>
        <w:rPr>
          <w:rFonts w:ascii="Arial" w:eastAsia="Times New Roman" w:hAnsi="Arial" w:cs="Arial"/>
          <w:b/>
          <w:caps/>
        </w:rPr>
      </w:pPr>
    </w:p>
    <w:p w14:paraId="526E9AB8" w14:textId="77777777" w:rsidR="000F6DF8" w:rsidRPr="00196D4F" w:rsidRDefault="000F6DF8" w:rsidP="000F6DF8">
      <w:pPr>
        <w:spacing w:line="360" w:lineRule="auto"/>
        <w:rPr>
          <w:rFonts w:ascii="Arial" w:eastAsia="Times New Roman" w:hAnsi="Arial" w:cs="Arial"/>
          <w:b/>
          <w:caps/>
        </w:rPr>
      </w:pPr>
    </w:p>
    <w:p w14:paraId="783272D6" w14:textId="77777777" w:rsidR="000F6DF8" w:rsidRDefault="000F6DF8" w:rsidP="000F6DF8">
      <w:pPr>
        <w:rPr>
          <w:rFonts w:ascii="Arial" w:eastAsia="Times New Roman" w:hAnsi="Arial" w:cs="Arial"/>
          <w:b/>
          <w:caps/>
        </w:rPr>
      </w:pPr>
      <w:r>
        <w:rPr>
          <w:rFonts w:ascii="Arial" w:eastAsia="Times New Roman" w:hAnsi="Arial" w:cs="Arial"/>
          <w:b/>
          <w:caps/>
        </w:rPr>
        <w:br w:type="page"/>
      </w:r>
    </w:p>
    <w:p w14:paraId="426C6E75" w14:textId="77777777" w:rsidR="000F6DF8" w:rsidRPr="00196D4F" w:rsidRDefault="000F6DF8" w:rsidP="000F6DF8">
      <w:pPr>
        <w:spacing w:line="360" w:lineRule="auto"/>
        <w:rPr>
          <w:rFonts w:ascii="Arial" w:eastAsia="Times New Roman" w:hAnsi="Arial" w:cs="Arial"/>
          <w:b/>
          <w:caps/>
        </w:rPr>
      </w:pPr>
    </w:p>
    <w:p w14:paraId="54D65BF0" w14:textId="77777777" w:rsidR="000F6DF8" w:rsidRPr="00196D4F" w:rsidRDefault="000F6DF8" w:rsidP="000F6DF8">
      <w:pPr>
        <w:keepNext/>
        <w:keepLines/>
        <w:numPr>
          <w:ilvl w:val="0"/>
          <w:numId w:val="1"/>
        </w:numPr>
        <w:shd w:val="clear" w:color="auto" w:fill="F2F2F2" w:themeFill="background1" w:themeFillShade="F2"/>
        <w:spacing w:before="400" w:after="40"/>
        <w:ind w:left="567" w:hanging="567"/>
        <w:outlineLvl w:val="0"/>
        <w:rPr>
          <w:rFonts w:ascii="Garamond" w:eastAsiaTheme="majorEastAsia" w:hAnsi="Garamond" w:cs="Times New Roman"/>
        </w:rPr>
      </w:pPr>
      <w:bookmarkStart w:id="4" w:name="_Toc527031848"/>
      <w:bookmarkStart w:id="5" w:name="_Toc146084275"/>
      <w:r w:rsidRPr="00196D4F">
        <w:rPr>
          <w:rFonts w:ascii="Garamond" w:eastAsiaTheme="majorEastAsia" w:hAnsi="Garamond" w:cs="Times New Roman"/>
        </w:rPr>
        <w:t>ABBREVIATIONS</w:t>
      </w:r>
      <w:bookmarkEnd w:id="4"/>
      <w:bookmarkEnd w:id="5"/>
    </w:p>
    <w:tbl>
      <w:tblPr>
        <w:tblStyle w:val="PlainTable5"/>
        <w:tblW w:w="0" w:type="auto"/>
        <w:tblLook w:val="04A0" w:firstRow="1" w:lastRow="0" w:firstColumn="1" w:lastColumn="0" w:noHBand="0" w:noVBand="1"/>
      </w:tblPr>
      <w:tblGrid>
        <w:gridCol w:w="9016"/>
      </w:tblGrid>
      <w:tr w:rsidR="000F6DF8" w:rsidRPr="00196D4F" w14:paraId="1252CF73" w14:textId="77777777" w:rsidTr="000A19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tbl>
            <w:tblPr>
              <w:tblStyle w:val="PlainTable5"/>
              <w:tblW w:w="0" w:type="auto"/>
              <w:tblLook w:val="04A0" w:firstRow="1" w:lastRow="0" w:firstColumn="1" w:lastColumn="0" w:noHBand="0" w:noVBand="1"/>
            </w:tblPr>
            <w:tblGrid>
              <w:gridCol w:w="2724"/>
              <w:gridCol w:w="2796"/>
            </w:tblGrid>
            <w:tr w:rsidR="000F6DF8" w:rsidRPr="00196D4F" w14:paraId="0238BF0E" w14:textId="77777777" w:rsidTr="000A19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24" w:type="dxa"/>
                </w:tcPr>
                <w:p w14:paraId="3E91F36F"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AG</w:t>
                  </w:r>
                </w:p>
              </w:tc>
              <w:tc>
                <w:tcPr>
                  <w:tcW w:w="2796" w:type="dxa"/>
                </w:tcPr>
                <w:p w14:paraId="0034BCB9" w14:textId="77777777" w:rsidR="000F6DF8" w:rsidRPr="00196D4F" w:rsidRDefault="000F6DF8" w:rsidP="000A19EB">
                  <w:pPr>
                    <w:spacing w:line="360" w:lineRule="auto"/>
                    <w:contextualSpacing/>
                    <w:cnfStyle w:val="100000000000" w:firstRow="1" w:lastRow="0" w:firstColumn="0" w:lastColumn="0" w:oddVBand="0" w:evenVBand="0" w:oddHBand="0" w:evenHBand="0" w:firstRowFirstColumn="0" w:firstRowLastColumn="0" w:lastRowFirstColumn="0" w:lastRowLastColumn="0"/>
                    <w:rPr>
                      <w:rFonts w:ascii="Garamond" w:hAnsi="Garamond"/>
                      <w:sz w:val="24"/>
                    </w:rPr>
                  </w:pPr>
                  <w:r w:rsidRPr="00196D4F">
                    <w:rPr>
                      <w:rFonts w:ascii="Garamond" w:hAnsi="Garamond"/>
                      <w:sz w:val="24"/>
                    </w:rPr>
                    <w:t>Auditor General</w:t>
                  </w:r>
                </w:p>
              </w:tc>
            </w:tr>
            <w:tr w:rsidR="000F6DF8" w:rsidRPr="00196D4F" w14:paraId="384CA469" w14:textId="77777777" w:rsidTr="000A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14:paraId="56063841"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APP</w:t>
                  </w:r>
                </w:p>
              </w:tc>
              <w:tc>
                <w:tcPr>
                  <w:tcW w:w="2796" w:type="dxa"/>
                </w:tcPr>
                <w:p w14:paraId="47A8F85B" w14:textId="77777777" w:rsidR="000F6DF8" w:rsidRPr="00196D4F" w:rsidRDefault="000F6DF8" w:rsidP="000A19EB">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Garamond" w:hAnsi="Garamond"/>
                    </w:rPr>
                  </w:pPr>
                  <w:r w:rsidRPr="00196D4F">
                    <w:rPr>
                      <w:rFonts w:ascii="Garamond" w:hAnsi="Garamond"/>
                    </w:rPr>
                    <w:t>Annual Performance Plan</w:t>
                  </w:r>
                </w:p>
              </w:tc>
            </w:tr>
            <w:tr w:rsidR="000F6DF8" w:rsidRPr="00196D4F" w14:paraId="7046AE10" w14:textId="77777777" w:rsidTr="000A19EB">
              <w:tc>
                <w:tcPr>
                  <w:cnfStyle w:val="001000000000" w:firstRow="0" w:lastRow="0" w:firstColumn="1" w:lastColumn="0" w:oddVBand="0" w:evenVBand="0" w:oddHBand="0" w:evenHBand="0" w:firstRowFirstColumn="0" w:firstRowLastColumn="0" w:lastRowFirstColumn="0" w:lastRowLastColumn="0"/>
                  <w:tcW w:w="2724" w:type="dxa"/>
                </w:tcPr>
                <w:p w14:paraId="6F4C1274"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BBBEE</w:t>
                  </w:r>
                </w:p>
              </w:tc>
              <w:tc>
                <w:tcPr>
                  <w:tcW w:w="2796" w:type="dxa"/>
                </w:tcPr>
                <w:p w14:paraId="546CE2D3" w14:textId="77777777" w:rsidR="000F6DF8" w:rsidRPr="00196D4F" w:rsidRDefault="000F6DF8" w:rsidP="000A19EB">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Garamond" w:hAnsi="Garamond"/>
                    </w:rPr>
                  </w:pPr>
                  <w:r w:rsidRPr="00196D4F">
                    <w:rPr>
                      <w:rFonts w:ascii="Garamond" w:hAnsi="Garamond"/>
                    </w:rPr>
                    <w:t>Broad Based Black Economic Empowerment</w:t>
                  </w:r>
                </w:p>
              </w:tc>
            </w:tr>
            <w:tr w:rsidR="000F6DF8" w:rsidRPr="00196D4F" w14:paraId="0D93926D" w14:textId="77777777" w:rsidTr="000A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14:paraId="62908DDA"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CFO</w:t>
                  </w:r>
                </w:p>
              </w:tc>
              <w:tc>
                <w:tcPr>
                  <w:tcW w:w="2796" w:type="dxa"/>
                </w:tcPr>
                <w:p w14:paraId="5E9ECFB7" w14:textId="77777777" w:rsidR="000F6DF8" w:rsidRPr="00196D4F" w:rsidRDefault="000F6DF8" w:rsidP="000A19EB">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Garamond" w:hAnsi="Garamond"/>
                    </w:rPr>
                  </w:pPr>
                  <w:r w:rsidRPr="00196D4F">
                    <w:rPr>
                      <w:rFonts w:ascii="Garamond" w:hAnsi="Garamond"/>
                    </w:rPr>
                    <w:t>Chief Financial Officer</w:t>
                  </w:r>
                </w:p>
              </w:tc>
            </w:tr>
            <w:tr w:rsidR="000F6DF8" w:rsidRPr="00196D4F" w14:paraId="78499E20" w14:textId="77777777" w:rsidTr="000A19EB">
              <w:tc>
                <w:tcPr>
                  <w:cnfStyle w:val="001000000000" w:firstRow="0" w:lastRow="0" w:firstColumn="1" w:lastColumn="0" w:oddVBand="0" w:evenVBand="0" w:oddHBand="0" w:evenHBand="0" w:firstRowFirstColumn="0" w:firstRowLastColumn="0" w:lastRowFirstColumn="0" w:lastRowLastColumn="0"/>
                  <w:tcW w:w="2724" w:type="dxa"/>
                </w:tcPr>
                <w:p w14:paraId="71650522"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CPA</w:t>
                  </w:r>
                </w:p>
              </w:tc>
              <w:tc>
                <w:tcPr>
                  <w:tcW w:w="2796" w:type="dxa"/>
                </w:tcPr>
                <w:p w14:paraId="4B82E9A1" w14:textId="77777777" w:rsidR="000F6DF8" w:rsidRPr="00196D4F" w:rsidRDefault="000F6DF8" w:rsidP="000A19EB">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Garamond" w:hAnsi="Garamond"/>
                    </w:rPr>
                  </w:pPr>
                  <w:r w:rsidRPr="00196D4F">
                    <w:rPr>
                      <w:rFonts w:ascii="Garamond" w:hAnsi="Garamond"/>
                    </w:rPr>
                    <w:t>Commonwealth Parliamentary Association</w:t>
                  </w:r>
                </w:p>
              </w:tc>
            </w:tr>
            <w:tr w:rsidR="000F6DF8" w:rsidRPr="00196D4F" w14:paraId="4193B4BD" w14:textId="77777777" w:rsidTr="000A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14:paraId="3B442D42"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ED</w:t>
                  </w:r>
                </w:p>
              </w:tc>
              <w:tc>
                <w:tcPr>
                  <w:tcW w:w="2796" w:type="dxa"/>
                </w:tcPr>
                <w:p w14:paraId="41890BBA" w14:textId="77777777" w:rsidR="000F6DF8" w:rsidRPr="00196D4F" w:rsidRDefault="000F6DF8" w:rsidP="000A19EB">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Garamond" w:hAnsi="Garamond"/>
                    </w:rPr>
                  </w:pPr>
                  <w:r w:rsidRPr="00196D4F">
                    <w:rPr>
                      <w:rFonts w:ascii="Garamond" w:hAnsi="Garamond"/>
                    </w:rPr>
                    <w:t>Executive Director</w:t>
                  </w:r>
                </w:p>
              </w:tc>
            </w:tr>
            <w:tr w:rsidR="000F6DF8" w:rsidRPr="00196D4F" w14:paraId="4F1183B7" w14:textId="77777777" w:rsidTr="000A19EB">
              <w:tc>
                <w:tcPr>
                  <w:cnfStyle w:val="001000000000" w:firstRow="0" w:lastRow="0" w:firstColumn="1" w:lastColumn="0" w:oddVBand="0" w:evenVBand="0" w:oddHBand="0" w:evenHBand="0" w:firstRowFirstColumn="0" w:firstRowLastColumn="0" w:lastRowFirstColumn="0" w:lastRowLastColumn="0"/>
                  <w:tcW w:w="2724" w:type="dxa"/>
                </w:tcPr>
                <w:p w14:paraId="5A898C27"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FAMLA</w:t>
                  </w:r>
                </w:p>
              </w:tc>
              <w:tc>
                <w:tcPr>
                  <w:tcW w:w="2796" w:type="dxa"/>
                </w:tcPr>
                <w:p w14:paraId="69D297AC" w14:textId="77777777" w:rsidR="000F6DF8" w:rsidRPr="00196D4F" w:rsidRDefault="000F6DF8" w:rsidP="000A19EB">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Garamond" w:hAnsi="Garamond"/>
                    </w:rPr>
                  </w:pPr>
                  <w:r w:rsidRPr="00196D4F">
                    <w:rPr>
                      <w:rFonts w:ascii="Garamond" w:hAnsi="Garamond"/>
                    </w:rPr>
                    <w:t>Financial Management Act of the Gauteng Provincial Legislature</w:t>
                  </w:r>
                </w:p>
              </w:tc>
            </w:tr>
            <w:tr w:rsidR="000F6DF8" w:rsidRPr="00196D4F" w14:paraId="04A99303" w14:textId="77777777" w:rsidTr="000A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14:paraId="6DF6E256"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FFC</w:t>
                  </w:r>
                </w:p>
              </w:tc>
              <w:tc>
                <w:tcPr>
                  <w:tcW w:w="2796" w:type="dxa"/>
                </w:tcPr>
                <w:p w14:paraId="3355FBCC" w14:textId="77777777" w:rsidR="000F6DF8" w:rsidRPr="00196D4F" w:rsidRDefault="000F6DF8" w:rsidP="000A19EB">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Garamond" w:hAnsi="Garamond"/>
                    </w:rPr>
                  </w:pPr>
                  <w:r w:rsidRPr="00196D4F">
                    <w:rPr>
                      <w:rFonts w:ascii="Garamond" w:hAnsi="Garamond"/>
                    </w:rPr>
                    <w:t>Finance and Fiscal Commission</w:t>
                  </w:r>
                </w:p>
              </w:tc>
            </w:tr>
            <w:tr w:rsidR="000F6DF8" w:rsidRPr="00196D4F" w14:paraId="2B3AE4EE" w14:textId="77777777" w:rsidTr="000A19EB">
              <w:tc>
                <w:tcPr>
                  <w:cnfStyle w:val="001000000000" w:firstRow="0" w:lastRow="0" w:firstColumn="1" w:lastColumn="0" w:oddVBand="0" w:evenVBand="0" w:oddHBand="0" w:evenHBand="0" w:firstRowFirstColumn="0" w:firstRowLastColumn="0" w:lastRowFirstColumn="0" w:lastRowLastColumn="0"/>
                  <w:tcW w:w="2724" w:type="dxa"/>
                </w:tcPr>
                <w:p w14:paraId="78797BA8"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GLP</w:t>
                  </w:r>
                </w:p>
              </w:tc>
              <w:tc>
                <w:tcPr>
                  <w:tcW w:w="2796" w:type="dxa"/>
                </w:tcPr>
                <w:p w14:paraId="6789C441" w14:textId="77777777" w:rsidR="000F6DF8" w:rsidRPr="00196D4F" w:rsidRDefault="000F6DF8" w:rsidP="000A19EB">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Garamond" w:hAnsi="Garamond"/>
                    </w:rPr>
                  </w:pPr>
                  <w:r w:rsidRPr="00196D4F">
                    <w:rPr>
                      <w:rFonts w:ascii="Garamond" w:hAnsi="Garamond"/>
                    </w:rPr>
                    <w:t>Gauteng Provincial Legislature</w:t>
                  </w:r>
                </w:p>
              </w:tc>
            </w:tr>
            <w:tr w:rsidR="000F6DF8" w:rsidRPr="00196D4F" w14:paraId="1F3C59CF" w14:textId="77777777" w:rsidTr="000A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14:paraId="0D6D46D8"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HR</w:t>
                  </w:r>
                </w:p>
              </w:tc>
              <w:tc>
                <w:tcPr>
                  <w:tcW w:w="2796" w:type="dxa"/>
                </w:tcPr>
                <w:p w14:paraId="344391C7" w14:textId="77777777" w:rsidR="000F6DF8" w:rsidRPr="00196D4F" w:rsidRDefault="000F6DF8" w:rsidP="000A19EB">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Garamond" w:hAnsi="Garamond"/>
                    </w:rPr>
                  </w:pPr>
                  <w:r w:rsidRPr="00196D4F">
                    <w:rPr>
                      <w:rFonts w:ascii="Garamond" w:hAnsi="Garamond"/>
                    </w:rPr>
                    <w:t>Human Resources</w:t>
                  </w:r>
                </w:p>
              </w:tc>
            </w:tr>
            <w:tr w:rsidR="000F6DF8" w:rsidRPr="00196D4F" w14:paraId="44B25B17" w14:textId="77777777" w:rsidTr="000A19EB">
              <w:tc>
                <w:tcPr>
                  <w:cnfStyle w:val="001000000000" w:firstRow="0" w:lastRow="0" w:firstColumn="1" w:lastColumn="0" w:oddVBand="0" w:evenVBand="0" w:oddHBand="0" w:evenHBand="0" w:firstRowFirstColumn="0" w:firstRowLastColumn="0" w:lastRowFirstColumn="0" w:lastRowLastColumn="0"/>
                  <w:tcW w:w="2724" w:type="dxa"/>
                </w:tcPr>
                <w:p w14:paraId="694E1DDB"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HRD</w:t>
                  </w:r>
                </w:p>
              </w:tc>
              <w:tc>
                <w:tcPr>
                  <w:tcW w:w="2796" w:type="dxa"/>
                </w:tcPr>
                <w:p w14:paraId="74DC5B95" w14:textId="77777777" w:rsidR="000F6DF8" w:rsidRPr="00196D4F" w:rsidRDefault="000F6DF8" w:rsidP="000A19EB">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Garamond" w:hAnsi="Garamond"/>
                    </w:rPr>
                  </w:pPr>
                  <w:r w:rsidRPr="00196D4F">
                    <w:rPr>
                      <w:rFonts w:ascii="Garamond" w:hAnsi="Garamond"/>
                    </w:rPr>
                    <w:t>Human Resources Development</w:t>
                  </w:r>
                </w:p>
              </w:tc>
            </w:tr>
            <w:tr w:rsidR="000F6DF8" w:rsidRPr="00196D4F" w14:paraId="69CE87D8" w14:textId="77777777" w:rsidTr="000A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14:paraId="095D53DB"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ICT</w:t>
                  </w:r>
                </w:p>
              </w:tc>
              <w:tc>
                <w:tcPr>
                  <w:tcW w:w="2796" w:type="dxa"/>
                </w:tcPr>
                <w:p w14:paraId="5C66AB82" w14:textId="77777777" w:rsidR="000F6DF8" w:rsidRPr="00196D4F" w:rsidRDefault="000F6DF8" w:rsidP="000A19EB">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Garamond" w:hAnsi="Garamond"/>
                    </w:rPr>
                  </w:pPr>
                  <w:r w:rsidRPr="00196D4F">
                    <w:rPr>
                      <w:rFonts w:ascii="Garamond" w:hAnsi="Garamond"/>
                    </w:rPr>
                    <w:t>Information and Communication Technology</w:t>
                  </w:r>
                </w:p>
              </w:tc>
            </w:tr>
            <w:tr w:rsidR="000F6DF8" w:rsidRPr="00196D4F" w14:paraId="0E987D77" w14:textId="77777777" w:rsidTr="000A19EB">
              <w:tc>
                <w:tcPr>
                  <w:cnfStyle w:val="001000000000" w:firstRow="0" w:lastRow="0" w:firstColumn="1" w:lastColumn="0" w:oddVBand="0" w:evenVBand="0" w:oddHBand="0" w:evenHBand="0" w:firstRowFirstColumn="0" w:firstRowLastColumn="0" w:lastRowFirstColumn="0" w:lastRowLastColumn="0"/>
                  <w:tcW w:w="2724" w:type="dxa"/>
                </w:tcPr>
                <w:p w14:paraId="333E5FB5"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IKM</w:t>
                  </w:r>
                </w:p>
              </w:tc>
              <w:tc>
                <w:tcPr>
                  <w:tcW w:w="2796" w:type="dxa"/>
                </w:tcPr>
                <w:p w14:paraId="7AEA6E5A" w14:textId="77777777" w:rsidR="000F6DF8" w:rsidRPr="00196D4F" w:rsidRDefault="000F6DF8" w:rsidP="000A19EB">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Garamond" w:hAnsi="Garamond"/>
                    </w:rPr>
                  </w:pPr>
                  <w:r w:rsidRPr="00196D4F">
                    <w:rPr>
                      <w:rFonts w:ascii="Garamond" w:hAnsi="Garamond"/>
                    </w:rPr>
                    <w:t>Information and Knowledge Management</w:t>
                  </w:r>
                </w:p>
              </w:tc>
            </w:tr>
            <w:tr w:rsidR="000F6DF8" w:rsidRPr="00196D4F" w14:paraId="058556B0" w14:textId="77777777" w:rsidTr="000A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14:paraId="0B1200FF"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IT</w:t>
                  </w:r>
                </w:p>
              </w:tc>
              <w:tc>
                <w:tcPr>
                  <w:tcW w:w="2796" w:type="dxa"/>
                </w:tcPr>
                <w:p w14:paraId="4CBCE40B" w14:textId="77777777" w:rsidR="000F6DF8" w:rsidRPr="00196D4F" w:rsidRDefault="000F6DF8" w:rsidP="000A19EB">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Garamond" w:hAnsi="Garamond"/>
                    </w:rPr>
                  </w:pPr>
                  <w:r w:rsidRPr="00196D4F">
                    <w:rPr>
                      <w:rFonts w:ascii="Garamond" w:hAnsi="Garamond"/>
                    </w:rPr>
                    <w:t>Information Technology</w:t>
                  </w:r>
                </w:p>
              </w:tc>
            </w:tr>
            <w:tr w:rsidR="000F6DF8" w:rsidRPr="00196D4F" w14:paraId="39FCF67C" w14:textId="77777777" w:rsidTr="000A19EB">
              <w:tc>
                <w:tcPr>
                  <w:cnfStyle w:val="001000000000" w:firstRow="0" w:lastRow="0" w:firstColumn="1" w:lastColumn="0" w:oddVBand="0" w:evenVBand="0" w:oddHBand="0" w:evenHBand="0" w:firstRowFirstColumn="0" w:firstRowLastColumn="0" w:lastRowFirstColumn="0" w:lastRowLastColumn="0"/>
                  <w:tcW w:w="2724" w:type="dxa"/>
                </w:tcPr>
                <w:p w14:paraId="675B457F"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ISD</w:t>
                  </w:r>
                </w:p>
              </w:tc>
              <w:tc>
                <w:tcPr>
                  <w:tcW w:w="2796" w:type="dxa"/>
                </w:tcPr>
                <w:p w14:paraId="338615BE" w14:textId="77777777" w:rsidR="000F6DF8" w:rsidRPr="00196D4F" w:rsidRDefault="000F6DF8" w:rsidP="000A19EB">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Garamond" w:hAnsi="Garamond"/>
                    </w:rPr>
                  </w:pPr>
                  <w:r w:rsidRPr="00196D4F">
                    <w:rPr>
                      <w:rFonts w:ascii="Garamond" w:hAnsi="Garamond"/>
                    </w:rPr>
                    <w:t>Institution Supporting Democracy</w:t>
                  </w:r>
                </w:p>
              </w:tc>
            </w:tr>
            <w:tr w:rsidR="000F6DF8" w:rsidRPr="00196D4F" w14:paraId="65389E03" w14:textId="77777777" w:rsidTr="000A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14:paraId="3888D26E"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ISDs</w:t>
                  </w:r>
                </w:p>
              </w:tc>
              <w:tc>
                <w:tcPr>
                  <w:tcW w:w="2796" w:type="dxa"/>
                </w:tcPr>
                <w:p w14:paraId="73FDA890" w14:textId="77777777" w:rsidR="000F6DF8" w:rsidRPr="00196D4F" w:rsidRDefault="000F6DF8" w:rsidP="000A19EB">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Garamond" w:hAnsi="Garamond"/>
                    </w:rPr>
                  </w:pPr>
                  <w:r w:rsidRPr="00196D4F">
                    <w:rPr>
                      <w:rFonts w:ascii="Garamond" w:hAnsi="Garamond"/>
                    </w:rPr>
                    <w:t xml:space="preserve"> Institutions Supporting Democracy</w:t>
                  </w:r>
                </w:p>
              </w:tc>
            </w:tr>
            <w:tr w:rsidR="000F6DF8" w:rsidRPr="00196D4F" w14:paraId="6B98181F" w14:textId="77777777" w:rsidTr="000A19EB">
              <w:tc>
                <w:tcPr>
                  <w:cnfStyle w:val="001000000000" w:firstRow="0" w:lastRow="0" w:firstColumn="1" w:lastColumn="0" w:oddVBand="0" w:evenVBand="0" w:oddHBand="0" w:evenHBand="0" w:firstRowFirstColumn="0" w:firstRowLastColumn="0" w:lastRowFirstColumn="0" w:lastRowLastColumn="0"/>
                  <w:tcW w:w="2724" w:type="dxa"/>
                </w:tcPr>
                <w:p w14:paraId="4812C31D"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ISS</w:t>
                  </w:r>
                </w:p>
              </w:tc>
              <w:tc>
                <w:tcPr>
                  <w:tcW w:w="2796" w:type="dxa"/>
                </w:tcPr>
                <w:p w14:paraId="12D40A34" w14:textId="77777777" w:rsidR="000F6DF8" w:rsidRPr="00196D4F" w:rsidRDefault="000F6DF8" w:rsidP="000A19EB">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Garamond" w:hAnsi="Garamond"/>
                    </w:rPr>
                  </w:pPr>
                  <w:r w:rsidRPr="00196D4F">
                    <w:rPr>
                      <w:rFonts w:ascii="Garamond" w:hAnsi="Garamond"/>
                    </w:rPr>
                    <w:t xml:space="preserve">Institutional Support Services </w:t>
                  </w:r>
                </w:p>
              </w:tc>
            </w:tr>
            <w:tr w:rsidR="000F6DF8" w:rsidRPr="00196D4F" w14:paraId="741ED721" w14:textId="77777777" w:rsidTr="000A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14:paraId="44E2560C"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KM</w:t>
                  </w:r>
                </w:p>
              </w:tc>
              <w:tc>
                <w:tcPr>
                  <w:tcW w:w="2796" w:type="dxa"/>
                </w:tcPr>
                <w:p w14:paraId="3A0BDCB5" w14:textId="77777777" w:rsidR="000F6DF8" w:rsidRPr="00196D4F" w:rsidRDefault="000F6DF8" w:rsidP="000A19EB">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Garamond" w:hAnsi="Garamond"/>
                    </w:rPr>
                  </w:pPr>
                  <w:r w:rsidRPr="00196D4F">
                    <w:rPr>
                      <w:rFonts w:ascii="Garamond" w:hAnsi="Garamond"/>
                    </w:rPr>
                    <w:t>Knowledge Management</w:t>
                  </w:r>
                </w:p>
              </w:tc>
            </w:tr>
            <w:tr w:rsidR="000F6DF8" w:rsidRPr="00196D4F" w14:paraId="1DE8E04F" w14:textId="77777777" w:rsidTr="000A19EB">
              <w:tc>
                <w:tcPr>
                  <w:cnfStyle w:val="001000000000" w:firstRow="0" w:lastRow="0" w:firstColumn="1" w:lastColumn="0" w:oddVBand="0" w:evenVBand="0" w:oddHBand="0" w:evenHBand="0" w:firstRowFirstColumn="0" w:firstRowLastColumn="0" w:lastRowFirstColumn="0" w:lastRowLastColumn="0"/>
                  <w:tcW w:w="2724" w:type="dxa"/>
                </w:tcPr>
                <w:p w14:paraId="5E3002D9"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LAC</w:t>
                  </w:r>
                </w:p>
              </w:tc>
              <w:tc>
                <w:tcPr>
                  <w:tcW w:w="2796" w:type="dxa"/>
                </w:tcPr>
                <w:p w14:paraId="72EA3464" w14:textId="77777777" w:rsidR="000F6DF8" w:rsidRPr="00196D4F" w:rsidRDefault="000F6DF8" w:rsidP="000A19EB">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Garamond" w:hAnsi="Garamond"/>
                    </w:rPr>
                  </w:pPr>
                  <w:r w:rsidRPr="00196D4F">
                    <w:rPr>
                      <w:rFonts w:ascii="Garamond" w:hAnsi="Garamond"/>
                    </w:rPr>
                    <w:t>Legislature Acquisition Council</w:t>
                  </w:r>
                </w:p>
              </w:tc>
            </w:tr>
            <w:tr w:rsidR="000F6DF8" w:rsidRPr="00196D4F" w14:paraId="4156EDA6" w14:textId="77777777" w:rsidTr="000A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14:paraId="09F1F378"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LSB</w:t>
                  </w:r>
                </w:p>
              </w:tc>
              <w:tc>
                <w:tcPr>
                  <w:tcW w:w="2796" w:type="dxa"/>
                </w:tcPr>
                <w:p w14:paraId="221601FC" w14:textId="77777777" w:rsidR="000F6DF8" w:rsidRPr="00196D4F" w:rsidRDefault="000F6DF8" w:rsidP="000A19EB">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Garamond" w:hAnsi="Garamond"/>
                    </w:rPr>
                  </w:pPr>
                  <w:r w:rsidRPr="00196D4F">
                    <w:rPr>
                      <w:rFonts w:ascii="Garamond" w:hAnsi="Garamond"/>
                    </w:rPr>
                    <w:t>Legislature Services Board</w:t>
                  </w:r>
                </w:p>
              </w:tc>
            </w:tr>
            <w:tr w:rsidR="000F6DF8" w:rsidRPr="00196D4F" w14:paraId="63693510" w14:textId="77777777" w:rsidTr="000A19EB">
              <w:tc>
                <w:tcPr>
                  <w:cnfStyle w:val="001000000000" w:firstRow="0" w:lastRow="0" w:firstColumn="1" w:lastColumn="0" w:oddVBand="0" w:evenVBand="0" w:oddHBand="0" w:evenHBand="0" w:firstRowFirstColumn="0" w:firstRowLastColumn="0" w:lastRowFirstColumn="0" w:lastRowLastColumn="0"/>
                  <w:tcW w:w="2724" w:type="dxa"/>
                </w:tcPr>
                <w:p w14:paraId="3EE7CF9F"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MEC</w:t>
                  </w:r>
                </w:p>
              </w:tc>
              <w:tc>
                <w:tcPr>
                  <w:tcW w:w="2796" w:type="dxa"/>
                </w:tcPr>
                <w:p w14:paraId="5E14EA31" w14:textId="77777777" w:rsidR="000F6DF8" w:rsidRPr="00196D4F" w:rsidRDefault="000F6DF8" w:rsidP="000A19EB">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Garamond" w:hAnsi="Garamond"/>
                    </w:rPr>
                  </w:pPr>
                  <w:r w:rsidRPr="00196D4F">
                    <w:rPr>
                      <w:rFonts w:ascii="Garamond" w:hAnsi="Garamond"/>
                    </w:rPr>
                    <w:t>Member of the Executive Council</w:t>
                  </w:r>
                </w:p>
              </w:tc>
            </w:tr>
            <w:tr w:rsidR="000F6DF8" w:rsidRPr="00196D4F" w14:paraId="766951A7" w14:textId="77777777" w:rsidTr="000A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14:paraId="562589CB"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MECs</w:t>
                  </w:r>
                </w:p>
              </w:tc>
              <w:tc>
                <w:tcPr>
                  <w:tcW w:w="2796" w:type="dxa"/>
                </w:tcPr>
                <w:p w14:paraId="7924088F" w14:textId="77777777" w:rsidR="000F6DF8" w:rsidRPr="00196D4F" w:rsidRDefault="000F6DF8" w:rsidP="000A19EB">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Garamond" w:hAnsi="Garamond"/>
                    </w:rPr>
                  </w:pPr>
                  <w:r w:rsidRPr="00196D4F">
                    <w:rPr>
                      <w:rFonts w:ascii="Garamond" w:hAnsi="Garamond"/>
                    </w:rPr>
                    <w:t>Members of the Executive Council</w:t>
                  </w:r>
                </w:p>
              </w:tc>
            </w:tr>
            <w:tr w:rsidR="000F6DF8" w:rsidRPr="00196D4F" w14:paraId="7015DFF4" w14:textId="77777777" w:rsidTr="000A19EB">
              <w:tc>
                <w:tcPr>
                  <w:cnfStyle w:val="001000000000" w:firstRow="0" w:lastRow="0" w:firstColumn="1" w:lastColumn="0" w:oddVBand="0" w:evenVBand="0" w:oddHBand="0" w:evenHBand="0" w:firstRowFirstColumn="0" w:firstRowLastColumn="0" w:lastRowFirstColumn="0" w:lastRowLastColumn="0"/>
                  <w:tcW w:w="2724" w:type="dxa"/>
                </w:tcPr>
                <w:p w14:paraId="416E6FAD"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MPL</w:t>
                  </w:r>
                </w:p>
              </w:tc>
              <w:tc>
                <w:tcPr>
                  <w:tcW w:w="2796" w:type="dxa"/>
                </w:tcPr>
                <w:p w14:paraId="44BF0B00" w14:textId="77777777" w:rsidR="000F6DF8" w:rsidRPr="00196D4F" w:rsidRDefault="000F6DF8" w:rsidP="000A19EB">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Garamond" w:hAnsi="Garamond"/>
                    </w:rPr>
                  </w:pPr>
                  <w:r w:rsidRPr="00196D4F">
                    <w:rPr>
                      <w:rFonts w:ascii="Garamond" w:hAnsi="Garamond"/>
                    </w:rPr>
                    <w:t>Member of the Provincial Legislature</w:t>
                  </w:r>
                </w:p>
              </w:tc>
            </w:tr>
            <w:tr w:rsidR="000F6DF8" w:rsidRPr="00196D4F" w14:paraId="1E8C12EF" w14:textId="77777777" w:rsidTr="000A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14:paraId="123D957F"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MPLs</w:t>
                  </w:r>
                </w:p>
              </w:tc>
              <w:tc>
                <w:tcPr>
                  <w:tcW w:w="2796" w:type="dxa"/>
                </w:tcPr>
                <w:p w14:paraId="5F9CD45E" w14:textId="77777777" w:rsidR="000F6DF8" w:rsidRPr="00196D4F" w:rsidRDefault="000F6DF8" w:rsidP="000A19EB">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Garamond" w:hAnsi="Garamond"/>
                    </w:rPr>
                  </w:pPr>
                  <w:r w:rsidRPr="00196D4F">
                    <w:rPr>
                      <w:rFonts w:ascii="Garamond" w:hAnsi="Garamond"/>
                    </w:rPr>
                    <w:t>Members of the Provincial Legislature</w:t>
                  </w:r>
                </w:p>
              </w:tc>
            </w:tr>
            <w:tr w:rsidR="000F6DF8" w:rsidRPr="00196D4F" w14:paraId="0D2B0B70" w14:textId="77777777" w:rsidTr="000A19EB">
              <w:tc>
                <w:tcPr>
                  <w:cnfStyle w:val="001000000000" w:firstRow="0" w:lastRow="0" w:firstColumn="1" w:lastColumn="0" w:oddVBand="0" w:evenVBand="0" w:oddHBand="0" w:evenHBand="0" w:firstRowFirstColumn="0" w:firstRowLastColumn="0" w:lastRowFirstColumn="0" w:lastRowLastColumn="0"/>
                  <w:tcW w:w="2724" w:type="dxa"/>
                </w:tcPr>
                <w:p w14:paraId="7EBF2D2B"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NCOP</w:t>
                  </w:r>
                </w:p>
              </w:tc>
              <w:tc>
                <w:tcPr>
                  <w:tcW w:w="2796" w:type="dxa"/>
                </w:tcPr>
                <w:p w14:paraId="0734BC5E" w14:textId="77777777" w:rsidR="000F6DF8" w:rsidRPr="00196D4F" w:rsidRDefault="000F6DF8" w:rsidP="000A19EB">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Garamond" w:hAnsi="Garamond"/>
                    </w:rPr>
                  </w:pPr>
                  <w:r w:rsidRPr="00196D4F">
                    <w:rPr>
                      <w:rFonts w:ascii="Garamond" w:hAnsi="Garamond"/>
                    </w:rPr>
                    <w:t>National Council of Provinces</w:t>
                  </w:r>
                </w:p>
              </w:tc>
            </w:tr>
            <w:tr w:rsidR="000F6DF8" w:rsidRPr="00196D4F" w14:paraId="533F0C26" w14:textId="77777777" w:rsidTr="000A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14:paraId="47627E63"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NCSL</w:t>
                  </w:r>
                </w:p>
              </w:tc>
              <w:tc>
                <w:tcPr>
                  <w:tcW w:w="2796" w:type="dxa"/>
                </w:tcPr>
                <w:p w14:paraId="2897665F" w14:textId="77777777" w:rsidR="000F6DF8" w:rsidRPr="00196D4F" w:rsidRDefault="000F6DF8" w:rsidP="000A19EB">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Garamond" w:hAnsi="Garamond"/>
                    </w:rPr>
                  </w:pPr>
                  <w:r w:rsidRPr="00196D4F">
                    <w:rPr>
                      <w:rFonts w:ascii="Garamond" w:hAnsi="Garamond"/>
                    </w:rPr>
                    <w:t>National Conference of State Legislatures</w:t>
                  </w:r>
                </w:p>
              </w:tc>
            </w:tr>
            <w:tr w:rsidR="000F6DF8" w:rsidRPr="00196D4F" w14:paraId="4FB40FDD" w14:textId="77777777" w:rsidTr="000A19EB">
              <w:tc>
                <w:tcPr>
                  <w:cnfStyle w:val="001000000000" w:firstRow="0" w:lastRow="0" w:firstColumn="1" w:lastColumn="0" w:oddVBand="0" w:evenVBand="0" w:oddHBand="0" w:evenHBand="0" w:firstRowFirstColumn="0" w:firstRowLastColumn="0" w:lastRowFirstColumn="0" w:lastRowLastColumn="0"/>
                  <w:tcW w:w="2724" w:type="dxa"/>
                </w:tcPr>
                <w:p w14:paraId="34C1EC24"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NEHAWU</w:t>
                  </w:r>
                </w:p>
              </w:tc>
              <w:tc>
                <w:tcPr>
                  <w:tcW w:w="2796" w:type="dxa"/>
                </w:tcPr>
                <w:p w14:paraId="0E8CEEDB" w14:textId="77777777" w:rsidR="000F6DF8" w:rsidRPr="00196D4F" w:rsidRDefault="000F6DF8" w:rsidP="000A19EB">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Garamond" w:hAnsi="Garamond"/>
                    </w:rPr>
                  </w:pPr>
                  <w:r w:rsidRPr="00196D4F">
                    <w:rPr>
                      <w:rFonts w:ascii="Garamond" w:hAnsi="Garamond"/>
                    </w:rPr>
                    <w:t>National Education, Health and Allied Workers Union</w:t>
                  </w:r>
                </w:p>
              </w:tc>
            </w:tr>
            <w:tr w:rsidR="000F6DF8" w:rsidRPr="00196D4F" w14:paraId="6A1A4325" w14:textId="77777777" w:rsidTr="000A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14:paraId="49D175FD"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OCPOL</w:t>
                  </w:r>
                </w:p>
              </w:tc>
              <w:tc>
                <w:tcPr>
                  <w:tcW w:w="2796" w:type="dxa"/>
                </w:tcPr>
                <w:p w14:paraId="03A8498C" w14:textId="77777777" w:rsidR="000F6DF8" w:rsidRPr="00196D4F" w:rsidRDefault="000F6DF8" w:rsidP="000A19EB">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Garamond" w:hAnsi="Garamond"/>
                    </w:rPr>
                  </w:pPr>
                  <w:r w:rsidRPr="00196D4F">
                    <w:rPr>
                      <w:rFonts w:ascii="Garamond" w:hAnsi="Garamond"/>
                    </w:rPr>
                    <w:t>Oversight Committee on the Premiers Office and the Legislature</w:t>
                  </w:r>
                </w:p>
              </w:tc>
            </w:tr>
            <w:tr w:rsidR="000F6DF8" w:rsidRPr="00196D4F" w14:paraId="70938710" w14:textId="77777777" w:rsidTr="000A19EB">
              <w:tc>
                <w:tcPr>
                  <w:cnfStyle w:val="001000000000" w:firstRow="0" w:lastRow="0" w:firstColumn="1" w:lastColumn="0" w:oddVBand="0" w:evenVBand="0" w:oddHBand="0" w:evenHBand="0" w:firstRowFirstColumn="0" w:firstRowLastColumn="0" w:lastRowFirstColumn="0" w:lastRowLastColumn="0"/>
                  <w:tcW w:w="2724" w:type="dxa"/>
                </w:tcPr>
                <w:p w14:paraId="0C8EC0A1"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OSS</w:t>
                  </w:r>
                </w:p>
              </w:tc>
              <w:tc>
                <w:tcPr>
                  <w:tcW w:w="2796" w:type="dxa"/>
                </w:tcPr>
                <w:p w14:paraId="5B80A053" w14:textId="77777777" w:rsidR="000F6DF8" w:rsidRPr="00196D4F" w:rsidRDefault="000F6DF8" w:rsidP="000A19EB">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Garamond" w:hAnsi="Garamond"/>
                    </w:rPr>
                  </w:pPr>
                  <w:r w:rsidRPr="00196D4F">
                    <w:rPr>
                      <w:rFonts w:ascii="Garamond" w:hAnsi="Garamond"/>
                    </w:rPr>
                    <w:t>Operational Support Services</w:t>
                  </w:r>
                </w:p>
              </w:tc>
            </w:tr>
            <w:tr w:rsidR="000F6DF8" w:rsidRPr="00196D4F" w14:paraId="77E60BF9" w14:textId="77777777" w:rsidTr="000A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14:paraId="66B154C4"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PFMA</w:t>
                  </w:r>
                </w:p>
              </w:tc>
              <w:tc>
                <w:tcPr>
                  <w:tcW w:w="2796" w:type="dxa"/>
                </w:tcPr>
                <w:p w14:paraId="3C0DC908" w14:textId="77777777" w:rsidR="000F6DF8" w:rsidRPr="00196D4F" w:rsidRDefault="000F6DF8" w:rsidP="000A19EB">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Garamond" w:hAnsi="Garamond"/>
                    </w:rPr>
                  </w:pPr>
                  <w:r w:rsidRPr="00196D4F">
                    <w:rPr>
                      <w:rFonts w:ascii="Garamond" w:hAnsi="Garamond"/>
                    </w:rPr>
                    <w:t>Public Finance Management Act</w:t>
                  </w:r>
                </w:p>
              </w:tc>
            </w:tr>
            <w:tr w:rsidR="000F6DF8" w:rsidRPr="00196D4F" w14:paraId="02048C98" w14:textId="77777777" w:rsidTr="000A19EB">
              <w:tc>
                <w:tcPr>
                  <w:cnfStyle w:val="001000000000" w:firstRow="0" w:lastRow="0" w:firstColumn="1" w:lastColumn="0" w:oddVBand="0" w:evenVBand="0" w:oddHBand="0" w:evenHBand="0" w:firstRowFirstColumn="0" w:firstRowLastColumn="0" w:lastRowFirstColumn="0" w:lastRowLastColumn="0"/>
                  <w:tcW w:w="2724" w:type="dxa"/>
                </w:tcPr>
                <w:p w14:paraId="4F664804"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PP</w:t>
                  </w:r>
                </w:p>
              </w:tc>
              <w:tc>
                <w:tcPr>
                  <w:tcW w:w="2796" w:type="dxa"/>
                </w:tcPr>
                <w:p w14:paraId="21E5A556" w14:textId="77777777" w:rsidR="000F6DF8" w:rsidRPr="00196D4F" w:rsidRDefault="000F6DF8" w:rsidP="000A19EB">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Garamond" w:hAnsi="Garamond"/>
                    </w:rPr>
                  </w:pPr>
                  <w:r w:rsidRPr="00196D4F">
                    <w:rPr>
                      <w:rFonts w:ascii="Garamond" w:hAnsi="Garamond"/>
                    </w:rPr>
                    <w:t>Public Participation</w:t>
                  </w:r>
                </w:p>
              </w:tc>
            </w:tr>
            <w:tr w:rsidR="000F6DF8" w:rsidRPr="00196D4F" w14:paraId="3D54165E" w14:textId="77777777" w:rsidTr="000A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14:paraId="0392471D"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PPP</w:t>
                  </w:r>
                </w:p>
              </w:tc>
              <w:tc>
                <w:tcPr>
                  <w:tcW w:w="2796" w:type="dxa"/>
                </w:tcPr>
                <w:p w14:paraId="1DBED73E" w14:textId="77777777" w:rsidR="000F6DF8" w:rsidRPr="00196D4F" w:rsidRDefault="000F6DF8" w:rsidP="000A19EB">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Garamond" w:hAnsi="Garamond"/>
                    </w:rPr>
                  </w:pPr>
                  <w:r w:rsidRPr="00196D4F">
                    <w:rPr>
                      <w:rFonts w:ascii="Garamond" w:hAnsi="Garamond"/>
                    </w:rPr>
                    <w:t>Public Participation and Petitions</w:t>
                  </w:r>
                </w:p>
              </w:tc>
            </w:tr>
            <w:tr w:rsidR="000F6DF8" w:rsidRPr="00196D4F" w14:paraId="214894C8" w14:textId="77777777" w:rsidTr="000A19EB">
              <w:tc>
                <w:tcPr>
                  <w:cnfStyle w:val="001000000000" w:firstRow="0" w:lastRow="0" w:firstColumn="1" w:lastColumn="0" w:oddVBand="0" w:evenVBand="0" w:oddHBand="0" w:evenHBand="0" w:firstRowFirstColumn="0" w:firstRowLastColumn="0" w:lastRowFirstColumn="0" w:lastRowLastColumn="0"/>
                  <w:tcW w:w="2724" w:type="dxa"/>
                </w:tcPr>
                <w:p w14:paraId="5DEAEF39"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PSC</w:t>
                  </w:r>
                </w:p>
              </w:tc>
              <w:tc>
                <w:tcPr>
                  <w:tcW w:w="2796" w:type="dxa"/>
                </w:tcPr>
                <w:p w14:paraId="18E8426A" w14:textId="77777777" w:rsidR="000F6DF8" w:rsidRPr="00196D4F" w:rsidRDefault="000F6DF8" w:rsidP="000A19EB">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Garamond" w:hAnsi="Garamond"/>
                    </w:rPr>
                  </w:pPr>
                  <w:r w:rsidRPr="00196D4F">
                    <w:rPr>
                      <w:rFonts w:ascii="Garamond" w:hAnsi="Garamond"/>
                    </w:rPr>
                    <w:t>Public Service Commission</w:t>
                  </w:r>
                </w:p>
              </w:tc>
            </w:tr>
            <w:tr w:rsidR="000F6DF8" w:rsidRPr="00196D4F" w14:paraId="7CDCF892" w14:textId="77777777" w:rsidTr="000A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14:paraId="78807FF0"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SCM</w:t>
                  </w:r>
                </w:p>
              </w:tc>
              <w:tc>
                <w:tcPr>
                  <w:tcW w:w="2796" w:type="dxa"/>
                </w:tcPr>
                <w:p w14:paraId="74B91EBC" w14:textId="77777777" w:rsidR="000F6DF8" w:rsidRPr="00196D4F" w:rsidRDefault="000F6DF8" w:rsidP="000A19EB">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Garamond" w:hAnsi="Garamond"/>
                    </w:rPr>
                  </w:pPr>
                  <w:r w:rsidRPr="00196D4F">
                    <w:rPr>
                      <w:rFonts w:ascii="Garamond" w:hAnsi="Garamond"/>
                    </w:rPr>
                    <w:t>Supply Chain Management</w:t>
                  </w:r>
                </w:p>
              </w:tc>
            </w:tr>
            <w:tr w:rsidR="000F6DF8" w:rsidRPr="00196D4F" w14:paraId="35977BB5" w14:textId="77777777" w:rsidTr="000A19EB">
              <w:tc>
                <w:tcPr>
                  <w:cnfStyle w:val="001000000000" w:firstRow="0" w:lastRow="0" w:firstColumn="1" w:lastColumn="0" w:oddVBand="0" w:evenVBand="0" w:oddHBand="0" w:evenHBand="0" w:firstRowFirstColumn="0" w:firstRowLastColumn="0" w:lastRowFirstColumn="0" w:lastRowLastColumn="0"/>
                  <w:tcW w:w="2724" w:type="dxa"/>
                </w:tcPr>
                <w:p w14:paraId="4438F6FE" w14:textId="77777777" w:rsidR="000F6DF8" w:rsidRPr="00196D4F" w:rsidRDefault="000F6DF8" w:rsidP="000A19EB">
                  <w:pPr>
                    <w:spacing w:line="360" w:lineRule="auto"/>
                    <w:contextualSpacing/>
                    <w:rPr>
                      <w:rFonts w:ascii="Garamond" w:hAnsi="Garamond"/>
                      <w:sz w:val="24"/>
                    </w:rPr>
                  </w:pPr>
                  <w:r w:rsidRPr="00196D4F">
                    <w:rPr>
                      <w:rFonts w:ascii="Garamond" w:hAnsi="Garamond"/>
                      <w:sz w:val="24"/>
                    </w:rPr>
                    <w:t>USA</w:t>
                  </w:r>
                </w:p>
              </w:tc>
              <w:tc>
                <w:tcPr>
                  <w:tcW w:w="2796" w:type="dxa"/>
                </w:tcPr>
                <w:p w14:paraId="58685526" w14:textId="77777777" w:rsidR="000F6DF8" w:rsidRPr="00196D4F" w:rsidRDefault="000F6DF8" w:rsidP="000A19EB">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Garamond" w:hAnsi="Garamond"/>
                    </w:rPr>
                  </w:pPr>
                  <w:r w:rsidRPr="00196D4F">
                    <w:rPr>
                      <w:rFonts w:ascii="Garamond" w:hAnsi="Garamond"/>
                    </w:rPr>
                    <w:t>United States of America</w:t>
                  </w:r>
                </w:p>
              </w:tc>
            </w:tr>
          </w:tbl>
          <w:p w14:paraId="0F718D9F" w14:textId="77777777" w:rsidR="000F6DF8" w:rsidRPr="00196D4F" w:rsidRDefault="000F6DF8" w:rsidP="000A19EB"/>
        </w:tc>
      </w:tr>
    </w:tbl>
    <w:p w14:paraId="0DED3B95" w14:textId="77777777" w:rsidR="000F6DF8" w:rsidRPr="00196D4F" w:rsidRDefault="000F6DF8" w:rsidP="000F6DF8">
      <w:pPr>
        <w:autoSpaceDE w:val="0"/>
        <w:autoSpaceDN w:val="0"/>
        <w:spacing w:after="120" w:line="276" w:lineRule="auto"/>
        <w:ind w:left="720"/>
        <w:rPr>
          <w:rFonts w:ascii="Trebuchet MS" w:eastAsia="Times New Roman" w:hAnsi="Trebuchet MS"/>
          <w:lang w:eastAsia="ja-JP"/>
        </w:rPr>
      </w:pPr>
    </w:p>
    <w:p w14:paraId="61137D92" w14:textId="77777777" w:rsidR="000F6DF8" w:rsidRPr="00196D4F" w:rsidRDefault="000F6DF8" w:rsidP="000F6DF8">
      <w:pPr>
        <w:autoSpaceDE w:val="0"/>
        <w:autoSpaceDN w:val="0"/>
        <w:spacing w:after="120" w:line="276" w:lineRule="auto"/>
        <w:ind w:left="720"/>
        <w:rPr>
          <w:rFonts w:ascii="Trebuchet MS" w:eastAsia="Times New Roman" w:hAnsi="Trebuchet MS"/>
          <w:lang w:eastAsia="ja-JP"/>
        </w:rPr>
      </w:pPr>
    </w:p>
    <w:p w14:paraId="43C53DF4" w14:textId="77777777" w:rsidR="000F6DF8" w:rsidRPr="00196D4F" w:rsidRDefault="000F6DF8" w:rsidP="000F6DF8">
      <w:pPr>
        <w:autoSpaceDE w:val="0"/>
        <w:autoSpaceDN w:val="0"/>
        <w:spacing w:after="120" w:line="276" w:lineRule="auto"/>
        <w:ind w:left="720"/>
        <w:rPr>
          <w:rFonts w:ascii="Trebuchet MS" w:eastAsia="Times New Roman" w:hAnsi="Trebuchet MS"/>
          <w:lang w:eastAsia="ja-JP"/>
        </w:rPr>
      </w:pPr>
    </w:p>
    <w:p w14:paraId="00E69369" w14:textId="77777777" w:rsidR="000F6DF8" w:rsidRPr="00196D4F" w:rsidRDefault="000F6DF8" w:rsidP="000F6DF8">
      <w:pPr>
        <w:autoSpaceDE w:val="0"/>
        <w:autoSpaceDN w:val="0"/>
        <w:spacing w:after="120" w:line="276" w:lineRule="auto"/>
        <w:ind w:left="720"/>
        <w:rPr>
          <w:rFonts w:ascii="Trebuchet MS" w:eastAsia="Times New Roman" w:hAnsi="Trebuchet MS"/>
          <w:lang w:eastAsia="ja-JP"/>
        </w:rPr>
      </w:pPr>
    </w:p>
    <w:p w14:paraId="4CFAF04D" w14:textId="77777777" w:rsidR="000F6DF8" w:rsidRPr="00763CEB" w:rsidRDefault="000F6DF8" w:rsidP="004D3329">
      <w:pPr>
        <w:pStyle w:val="Heading1"/>
        <w:numPr>
          <w:ilvl w:val="0"/>
          <w:numId w:val="12"/>
        </w:numPr>
        <w:rPr>
          <w:rFonts w:ascii="Arial" w:eastAsia="Times New Roman" w:hAnsi="Arial" w:cs="Arial"/>
          <w:b/>
          <w:bCs/>
          <w:sz w:val="24"/>
          <w:szCs w:val="24"/>
          <w:lang w:val="en-GB" w:eastAsia="ja-JP"/>
        </w:rPr>
      </w:pPr>
      <w:bookmarkStart w:id="6" w:name="_Toc146084276"/>
      <w:r w:rsidRPr="00763CEB">
        <w:rPr>
          <w:rFonts w:ascii="Arial" w:eastAsia="Times New Roman" w:hAnsi="Arial" w:cs="Arial"/>
          <w:b/>
          <w:bCs/>
          <w:color w:val="auto"/>
          <w:sz w:val="24"/>
          <w:szCs w:val="24"/>
          <w:lang w:val="en-GB" w:eastAsia="ja-JP"/>
        </w:rPr>
        <w:t>Introduction</w:t>
      </w:r>
      <w:bookmarkEnd w:id="6"/>
    </w:p>
    <w:p w14:paraId="51E197EF" w14:textId="77777777" w:rsidR="000F6DF8" w:rsidRPr="00763CEB" w:rsidRDefault="000F6DF8" w:rsidP="000F6DF8">
      <w:pPr>
        <w:spacing w:after="160" w:line="259" w:lineRule="auto"/>
        <w:rPr>
          <w:lang w:val="en-GB" w:eastAsia="ja-JP"/>
        </w:rPr>
      </w:pPr>
    </w:p>
    <w:p w14:paraId="568E7D1F" w14:textId="77777777" w:rsidR="000F6DF8" w:rsidRDefault="000F6DF8" w:rsidP="000F6DF8">
      <w:pPr>
        <w:spacing w:line="360" w:lineRule="auto"/>
        <w:jc w:val="both"/>
        <w:rPr>
          <w:rFonts w:ascii="Arial" w:eastAsiaTheme="minorEastAsia" w:hAnsi="Arial" w:cs="Arial"/>
        </w:rPr>
      </w:pPr>
      <w:r w:rsidRPr="00196D4F">
        <w:rPr>
          <w:rFonts w:ascii="Arial" w:eastAsiaTheme="minorEastAsia" w:hAnsi="Arial" w:cs="Arial"/>
        </w:rPr>
        <w:t>Th</w:t>
      </w:r>
      <w:r>
        <w:rPr>
          <w:rFonts w:ascii="Arial" w:eastAsiaTheme="minorEastAsia" w:hAnsi="Arial" w:cs="Arial"/>
        </w:rPr>
        <w:t xml:space="preserve">is document provides </w:t>
      </w:r>
      <w:r w:rsidRPr="00196D4F">
        <w:rPr>
          <w:rFonts w:ascii="Arial" w:eastAsiaTheme="minorEastAsia" w:hAnsi="Arial" w:cs="Arial"/>
        </w:rPr>
        <w:t>an analysis of the performance of the Gauteng Provi</w:t>
      </w:r>
      <w:r>
        <w:rPr>
          <w:rFonts w:ascii="Arial" w:eastAsiaTheme="minorEastAsia" w:hAnsi="Arial" w:cs="Arial"/>
        </w:rPr>
        <w:t>ncial Legislature during the 2022/23</w:t>
      </w:r>
      <w:r w:rsidRPr="00196D4F">
        <w:rPr>
          <w:rFonts w:ascii="Arial" w:eastAsiaTheme="minorEastAsia" w:hAnsi="Arial" w:cs="Arial"/>
        </w:rPr>
        <w:t xml:space="preserve"> financial year in relation to the budget and targets contained in the </w:t>
      </w:r>
      <w:r>
        <w:rPr>
          <w:rFonts w:ascii="Arial" w:eastAsiaTheme="minorEastAsia" w:hAnsi="Arial" w:cs="Arial"/>
        </w:rPr>
        <w:t>A</w:t>
      </w:r>
      <w:r w:rsidRPr="00196D4F">
        <w:rPr>
          <w:rFonts w:ascii="Arial" w:eastAsiaTheme="minorEastAsia" w:hAnsi="Arial" w:cs="Arial"/>
        </w:rPr>
        <w:t xml:space="preserve">nnual </w:t>
      </w:r>
      <w:r>
        <w:rPr>
          <w:rFonts w:ascii="Arial" w:eastAsiaTheme="minorEastAsia" w:hAnsi="Arial" w:cs="Arial"/>
        </w:rPr>
        <w:t>P</w:t>
      </w:r>
      <w:r w:rsidRPr="00196D4F">
        <w:rPr>
          <w:rFonts w:ascii="Arial" w:eastAsiaTheme="minorEastAsia" w:hAnsi="Arial" w:cs="Arial"/>
        </w:rPr>
        <w:t xml:space="preserve">erformance </w:t>
      </w:r>
      <w:r>
        <w:rPr>
          <w:rFonts w:ascii="Arial" w:eastAsiaTheme="minorEastAsia" w:hAnsi="Arial" w:cs="Arial"/>
        </w:rPr>
        <w:t>P</w:t>
      </w:r>
      <w:r w:rsidRPr="00196D4F">
        <w:rPr>
          <w:rFonts w:ascii="Arial" w:eastAsiaTheme="minorEastAsia" w:hAnsi="Arial" w:cs="Arial"/>
        </w:rPr>
        <w:t>lan</w:t>
      </w:r>
      <w:r>
        <w:rPr>
          <w:rFonts w:ascii="Arial" w:eastAsiaTheme="minorEastAsia" w:hAnsi="Arial" w:cs="Arial"/>
        </w:rPr>
        <w:t xml:space="preserve"> (APP)</w:t>
      </w:r>
      <w:r w:rsidRPr="00196D4F">
        <w:rPr>
          <w:rFonts w:ascii="Arial" w:eastAsiaTheme="minorEastAsia" w:hAnsi="Arial" w:cs="Arial"/>
        </w:rPr>
        <w:t xml:space="preserve">.  Firstly, this brief will undertake a comparison of both non-financial (outputs) and financial (inputs) indicators of the GPL during the period under review. Second, this brief assesses whether the institution was able to adhere to principles of efficiency and effectiveness during the period under review. Furthermore, there is an overall discussion of the performance of the GPL. It is thus worth stating that the relationship between plans and budgets indicates operational effectiveness and efficiency.    </w:t>
      </w:r>
    </w:p>
    <w:p w14:paraId="73B1CD23" w14:textId="77777777" w:rsidR="000F6DF8" w:rsidRPr="00196D4F" w:rsidRDefault="000F6DF8" w:rsidP="000F6DF8">
      <w:pPr>
        <w:spacing w:line="360" w:lineRule="auto"/>
        <w:jc w:val="both"/>
        <w:rPr>
          <w:rFonts w:ascii="Arial" w:eastAsiaTheme="minorEastAsia" w:hAnsi="Arial" w:cs="Arial"/>
        </w:rPr>
      </w:pPr>
    </w:p>
    <w:p w14:paraId="3362EB2D" w14:textId="77777777" w:rsidR="000F6DF8" w:rsidRPr="00763CEB" w:rsidRDefault="000F6DF8" w:rsidP="000F6DF8">
      <w:pPr>
        <w:spacing w:line="360" w:lineRule="auto"/>
        <w:jc w:val="both"/>
        <w:rPr>
          <w:rFonts w:ascii="Arial" w:eastAsiaTheme="minorEastAsia" w:hAnsi="Arial" w:cs="Arial"/>
        </w:rPr>
      </w:pPr>
      <w:r w:rsidRPr="00196D4F">
        <w:rPr>
          <w:rFonts w:ascii="Arial" w:eastAsiaTheme="minorEastAsia" w:hAnsi="Arial" w:cs="Arial"/>
        </w:rPr>
        <w:t>Annual reports remain key reporting instruments for departments and all accounting entities to report their performance targets and spending on the budget against the strategic plans</w:t>
      </w:r>
      <w:r w:rsidRPr="00196D4F">
        <w:rPr>
          <w:rFonts w:ascii="Arial" w:eastAsiaTheme="minorEastAsia" w:hAnsi="Arial" w:cs="Arial"/>
          <w:vertAlign w:val="superscript"/>
        </w:rPr>
        <w:footnoteReference w:id="1"/>
      </w:r>
      <w:r w:rsidRPr="00196D4F">
        <w:rPr>
          <w:rFonts w:ascii="Arial" w:eastAsiaTheme="minorEastAsia" w:hAnsi="Arial" w:cs="Arial"/>
        </w:rPr>
        <w:t>.</w:t>
      </w:r>
      <w:r w:rsidRPr="00196D4F">
        <w:rPr>
          <w:rFonts w:ascii="Arial" w:eastAsiaTheme="minorEastAsia" w:hAnsi="Arial" w:cs="Arial"/>
          <w:bCs/>
        </w:rPr>
        <w:t xml:space="preserve"> </w:t>
      </w:r>
      <w:r w:rsidRPr="00196D4F">
        <w:rPr>
          <w:rFonts w:ascii="Arial" w:eastAsiaTheme="minorEastAsia" w:hAnsi="Arial" w:cs="Arial"/>
        </w:rPr>
        <w:t>This</w:t>
      </w:r>
      <w:r w:rsidRPr="00196D4F">
        <w:rPr>
          <w:rFonts w:ascii="Arial" w:eastAsiaTheme="minorEastAsia" w:hAnsi="Arial" w:cs="Arial"/>
          <w:bCs/>
        </w:rPr>
        <w:t xml:space="preserve"> brief was developed in </w:t>
      </w:r>
      <w:r w:rsidRPr="00EE3D5B">
        <w:rPr>
          <w:rFonts w:ascii="Arial" w:eastAsiaTheme="minorEastAsia" w:hAnsi="Arial" w:cs="Arial"/>
          <w:bCs/>
        </w:rPr>
        <w:t xml:space="preserve">accordance with the Sector Oversight Model (SOM). </w:t>
      </w:r>
      <w:r w:rsidRPr="00763CEB">
        <w:rPr>
          <w:rFonts w:ascii="Arial" w:eastAsiaTheme="minorEastAsia" w:hAnsi="Arial" w:cs="Arial"/>
        </w:rPr>
        <w:t>This conceptual model provides that the annual report process will assist the Committee to formulate ideas for the coming budget. The committee should be able to develop an idea of the state of affairs for a given priority</w:t>
      </w:r>
      <w:r w:rsidRPr="00763CEB">
        <w:rPr>
          <w:rFonts w:ascii="Arial" w:eastAsiaTheme="minorEastAsia" w:hAnsi="Arial" w:cs="Arial"/>
          <w:vertAlign w:val="superscript"/>
        </w:rPr>
        <w:footnoteReference w:id="2"/>
      </w:r>
      <w:r w:rsidRPr="00763CEB">
        <w:rPr>
          <w:rFonts w:ascii="Arial" w:eastAsiaTheme="minorEastAsia" w:hAnsi="Arial" w:cs="Arial"/>
        </w:rPr>
        <w:t xml:space="preserve">. </w:t>
      </w:r>
    </w:p>
    <w:p w14:paraId="74E4D9D0" w14:textId="77777777" w:rsidR="000F6DF8" w:rsidRPr="00763CEB" w:rsidRDefault="000F6DF8" w:rsidP="000F6DF8">
      <w:pPr>
        <w:spacing w:line="360" w:lineRule="auto"/>
        <w:jc w:val="both"/>
        <w:rPr>
          <w:rFonts w:ascii="Arial" w:eastAsiaTheme="minorEastAsia" w:hAnsi="Arial" w:cs="Arial"/>
        </w:rPr>
      </w:pPr>
      <w:r w:rsidRPr="00763CEB">
        <w:rPr>
          <w:rFonts w:ascii="Arial" w:eastAsiaTheme="minorEastAsia" w:hAnsi="Arial" w:cs="Arial"/>
        </w:rPr>
        <w:t xml:space="preserve">This report is presented at the year that the country is celebrating 29 years of democracy. </w:t>
      </w:r>
      <w:r w:rsidRPr="00EE3D5B">
        <w:rPr>
          <w:rFonts w:ascii="Arial" w:eastAsiaTheme="minorEastAsia" w:hAnsi="Arial" w:cs="Arial"/>
          <w:bCs/>
        </w:rPr>
        <w:t>As indicated above</w:t>
      </w:r>
      <w:r>
        <w:rPr>
          <w:rFonts w:ascii="Arial" w:eastAsiaTheme="minorEastAsia" w:hAnsi="Arial" w:cs="Arial"/>
          <w:bCs/>
        </w:rPr>
        <w:t>,</w:t>
      </w:r>
      <w:r w:rsidRPr="00EE3D5B">
        <w:rPr>
          <w:rFonts w:ascii="Arial" w:eastAsiaTheme="minorEastAsia" w:hAnsi="Arial" w:cs="Arial"/>
          <w:bCs/>
        </w:rPr>
        <w:t xml:space="preserve"> </w:t>
      </w:r>
      <w:r>
        <w:rPr>
          <w:rFonts w:ascii="Arial" w:eastAsiaTheme="minorEastAsia" w:hAnsi="Arial" w:cs="Arial"/>
          <w:bCs/>
        </w:rPr>
        <w:t>the analysis</w:t>
      </w:r>
      <w:r w:rsidRPr="00EE3D5B">
        <w:rPr>
          <w:rFonts w:ascii="Arial" w:eastAsiaTheme="minorEastAsia" w:hAnsi="Arial" w:cs="Arial"/>
          <w:bCs/>
        </w:rPr>
        <w:t xml:space="preserve"> evaluates whether the GPL has delivered on the commitments made in its Annual Performance Plans (APP) against the budget.</w:t>
      </w:r>
    </w:p>
    <w:p w14:paraId="0A84F0CF" w14:textId="77777777" w:rsidR="000F6DF8" w:rsidRPr="00EE3D5B" w:rsidRDefault="000F6DF8" w:rsidP="000F6DF8">
      <w:pPr>
        <w:spacing w:after="200" w:line="360" w:lineRule="auto"/>
        <w:jc w:val="both"/>
        <w:rPr>
          <w:rFonts w:ascii="Arial" w:eastAsiaTheme="minorEastAsia" w:hAnsi="Arial" w:cs="Arial"/>
          <w:bCs/>
        </w:rPr>
      </w:pPr>
      <w:r w:rsidRPr="00EE3D5B">
        <w:rPr>
          <w:rFonts w:ascii="Arial" w:eastAsiaTheme="minorEastAsia" w:hAnsi="Arial" w:cs="Arial"/>
          <w:bCs/>
        </w:rPr>
        <w:t>In terms of analysing the GPL Annual Report the following documents were used:</w:t>
      </w:r>
    </w:p>
    <w:p w14:paraId="2916EC93" w14:textId="77777777" w:rsidR="000F6DF8" w:rsidRPr="00196D4F" w:rsidRDefault="000F6DF8" w:rsidP="000F6DF8">
      <w:pPr>
        <w:numPr>
          <w:ilvl w:val="0"/>
          <w:numId w:val="2"/>
        </w:numPr>
        <w:spacing w:after="200" w:line="360" w:lineRule="auto"/>
        <w:ind w:left="839" w:hanging="357"/>
        <w:contextualSpacing/>
        <w:jc w:val="both"/>
        <w:rPr>
          <w:rFonts w:ascii="Arial" w:eastAsiaTheme="minorEastAsia" w:hAnsi="Arial" w:cs="Arial"/>
          <w:bCs/>
        </w:rPr>
      </w:pPr>
      <w:r w:rsidRPr="00196D4F">
        <w:rPr>
          <w:rFonts w:ascii="Arial" w:eastAsiaTheme="minorEastAsia" w:hAnsi="Arial" w:cs="Arial"/>
        </w:rPr>
        <w:t xml:space="preserve">Gauteng Provincial </w:t>
      </w:r>
      <w:r>
        <w:rPr>
          <w:rFonts w:ascii="Arial" w:eastAsiaTheme="minorEastAsia" w:hAnsi="Arial" w:cs="Arial"/>
        </w:rPr>
        <w:t xml:space="preserve">Legislature: Approved 2020-2025 </w:t>
      </w:r>
      <w:r w:rsidRPr="00196D4F">
        <w:rPr>
          <w:rFonts w:ascii="Arial" w:eastAsiaTheme="minorEastAsia" w:hAnsi="Arial" w:cs="Arial"/>
        </w:rPr>
        <w:t>Strategic Plan</w:t>
      </w:r>
    </w:p>
    <w:p w14:paraId="6F7E7FCB" w14:textId="77777777" w:rsidR="000F6DF8" w:rsidRPr="00196D4F" w:rsidRDefault="000F6DF8" w:rsidP="000F6DF8">
      <w:pPr>
        <w:numPr>
          <w:ilvl w:val="0"/>
          <w:numId w:val="2"/>
        </w:numPr>
        <w:spacing w:after="200" w:line="360" w:lineRule="auto"/>
        <w:ind w:left="839" w:hanging="357"/>
        <w:contextualSpacing/>
        <w:jc w:val="both"/>
        <w:rPr>
          <w:rFonts w:ascii="Arial" w:eastAsiaTheme="minorEastAsia" w:hAnsi="Arial" w:cs="Arial"/>
          <w:bCs/>
        </w:rPr>
      </w:pPr>
      <w:r w:rsidRPr="00196D4F">
        <w:rPr>
          <w:rFonts w:ascii="Arial" w:eastAsiaTheme="minorEastAsia" w:hAnsi="Arial" w:cs="Arial"/>
        </w:rPr>
        <w:t xml:space="preserve">Gauteng </w:t>
      </w:r>
      <w:r>
        <w:rPr>
          <w:rFonts w:ascii="Arial" w:eastAsiaTheme="minorEastAsia" w:hAnsi="Arial" w:cs="Arial"/>
        </w:rPr>
        <w:t>Provincial Legislature: APP 20</w:t>
      </w:r>
      <w:r w:rsidRPr="00196D4F">
        <w:rPr>
          <w:rFonts w:ascii="Arial" w:eastAsiaTheme="minorEastAsia" w:hAnsi="Arial" w:cs="Arial"/>
        </w:rPr>
        <w:t>2</w:t>
      </w:r>
      <w:r>
        <w:rPr>
          <w:rFonts w:ascii="Arial" w:eastAsiaTheme="minorEastAsia" w:hAnsi="Arial" w:cs="Arial"/>
        </w:rPr>
        <w:t>2/23</w:t>
      </w:r>
    </w:p>
    <w:p w14:paraId="62F97805" w14:textId="77777777" w:rsidR="000F6DF8" w:rsidRPr="00196D4F" w:rsidRDefault="000F6DF8" w:rsidP="000F6DF8">
      <w:pPr>
        <w:numPr>
          <w:ilvl w:val="0"/>
          <w:numId w:val="2"/>
        </w:numPr>
        <w:spacing w:after="200" w:line="360" w:lineRule="auto"/>
        <w:ind w:left="839" w:hanging="357"/>
        <w:contextualSpacing/>
        <w:jc w:val="both"/>
        <w:rPr>
          <w:rFonts w:ascii="Arial" w:eastAsiaTheme="minorEastAsia" w:hAnsi="Arial" w:cs="Arial"/>
          <w:bCs/>
        </w:rPr>
      </w:pPr>
      <w:r w:rsidRPr="00196D4F">
        <w:rPr>
          <w:rFonts w:ascii="Arial" w:eastAsiaTheme="minorEastAsia" w:hAnsi="Arial" w:cs="Arial"/>
        </w:rPr>
        <w:t>Gauteng Provincial</w:t>
      </w:r>
      <w:r>
        <w:rPr>
          <w:rFonts w:ascii="Arial" w:eastAsiaTheme="minorEastAsia" w:hAnsi="Arial" w:cs="Arial"/>
        </w:rPr>
        <w:t xml:space="preserve"> Legislature: Annual Report 20</w:t>
      </w:r>
      <w:r w:rsidRPr="00196D4F">
        <w:rPr>
          <w:rFonts w:ascii="Arial" w:eastAsiaTheme="minorEastAsia" w:hAnsi="Arial" w:cs="Arial"/>
        </w:rPr>
        <w:t>2</w:t>
      </w:r>
      <w:r>
        <w:rPr>
          <w:rFonts w:ascii="Arial" w:eastAsiaTheme="minorEastAsia" w:hAnsi="Arial" w:cs="Arial"/>
        </w:rPr>
        <w:t>2/23</w:t>
      </w:r>
    </w:p>
    <w:p w14:paraId="177E399A" w14:textId="77777777" w:rsidR="000F6DF8" w:rsidRPr="00EE3D5B" w:rsidRDefault="000F6DF8" w:rsidP="000F6DF8">
      <w:pPr>
        <w:numPr>
          <w:ilvl w:val="0"/>
          <w:numId w:val="2"/>
        </w:numPr>
        <w:spacing w:after="200" w:line="360" w:lineRule="auto"/>
        <w:ind w:left="839" w:hanging="357"/>
        <w:contextualSpacing/>
        <w:jc w:val="both"/>
        <w:rPr>
          <w:rFonts w:ascii="Arial" w:eastAsiaTheme="minorEastAsia" w:hAnsi="Arial" w:cs="Arial"/>
          <w:bCs/>
        </w:rPr>
      </w:pPr>
      <w:r w:rsidRPr="00196D4F">
        <w:rPr>
          <w:rFonts w:ascii="Arial" w:eastAsiaTheme="minorEastAsia" w:hAnsi="Arial" w:cs="Arial"/>
        </w:rPr>
        <w:t xml:space="preserve">SOM </w:t>
      </w:r>
      <w:r>
        <w:rPr>
          <w:rFonts w:ascii="Arial" w:eastAsiaTheme="minorEastAsia" w:hAnsi="Arial" w:cs="Arial"/>
        </w:rPr>
        <w:t>Tools utilised:</w:t>
      </w:r>
    </w:p>
    <w:p w14:paraId="60747DFE" w14:textId="77777777" w:rsidR="000F6DF8" w:rsidRPr="00196D4F" w:rsidRDefault="000F6DF8" w:rsidP="000F6DF8">
      <w:pPr>
        <w:spacing w:after="200" w:line="360" w:lineRule="auto"/>
        <w:ind w:left="839"/>
        <w:contextualSpacing/>
        <w:jc w:val="both"/>
        <w:rPr>
          <w:rFonts w:ascii="Arial" w:eastAsiaTheme="minorEastAsia" w:hAnsi="Arial" w:cs="Arial"/>
          <w:bCs/>
        </w:rPr>
      </w:pPr>
    </w:p>
    <w:p w14:paraId="70126A30" w14:textId="77777777" w:rsidR="000F6DF8" w:rsidRPr="00196D4F" w:rsidRDefault="000F6DF8" w:rsidP="000F6DF8">
      <w:pPr>
        <w:numPr>
          <w:ilvl w:val="0"/>
          <w:numId w:val="7"/>
        </w:numPr>
        <w:spacing w:line="360" w:lineRule="auto"/>
        <w:ind w:left="1560"/>
        <w:contextualSpacing/>
        <w:jc w:val="both"/>
        <w:rPr>
          <w:rFonts w:ascii="Arial" w:eastAsiaTheme="minorEastAsia" w:hAnsi="Arial" w:cs="Arial"/>
          <w:bCs/>
          <w:lang w:val="en-US"/>
        </w:rPr>
      </w:pPr>
      <w:r w:rsidRPr="00196D4F">
        <w:rPr>
          <w:rFonts w:ascii="Arial" w:eastAsiaTheme="minorEastAsia" w:hAnsi="Arial" w:cs="Arial"/>
          <w:b/>
          <w:bCs/>
          <w:i/>
          <w:lang w:val="en-US"/>
        </w:rPr>
        <w:t>Budget Variance Tool</w:t>
      </w:r>
      <w:r w:rsidRPr="00196D4F">
        <w:rPr>
          <w:rFonts w:ascii="Arial" w:eastAsiaTheme="minorEastAsia" w:hAnsi="Arial" w:cs="Arial"/>
          <w:bCs/>
          <w:lang w:val="en-US"/>
        </w:rPr>
        <w:t>-</w:t>
      </w:r>
      <w:r w:rsidRPr="00196D4F">
        <w:rPr>
          <w:rFonts w:ascii="Arial" w:eastAsiaTheme="minorEastAsia" w:hAnsi="Arial" w:cs="Arial"/>
          <w:lang w:val="en-US"/>
        </w:rPr>
        <w:t xml:space="preserve"> </w:t>
      </w:r>
      <w:r w:rsidRPr="00196D4F">
        <w:rPr>
          <w:rFonts w:ascii="Arial" w:eastAsiaTheme="minorEastAsia" w:hAnsi="Arial" w:cs="Arial"/>
          <w:bCs/>
          <w:lang w:val="en-US"/>
        </w:rPr>
        <w:t>Which examines the variances between estimates, budgets, adjustments and actual expenditure, with a view to ascertaining the quality of a department’s planning in respect of a program and sub-program.</w:t>
      </w:r>
    </w:p>
    <w:p w14:paraId="0D80A961" w14:textId="77777777" w:rsidR="000F6DF8" w:rsidRPr="00196D4F" w:rsidRDefault="000F6DF8" w:rsidP="000F6DF8">
      <w:pPr>
        <w:numPr>
          <w:ilvl w:val="0"/>
          <w:numId w:val="7"/>
        </w:numPr>
        <w:spacing w:line="360" w:lineRule="auto"/>
        <w:ind w:left="1560"/>
        <w:contextualSpacing/>
        <w:jc w:val="both"/>
        <w:rPr>
          <w:rFonts w:ascii="Arial" w:eastAsiaTheme="minorEastAsia" w:hAnsi="Arial" w:cs="Arial"/>
          <w:bCs/>
          <w:lang w:val="en-US"/>
        </w:rPr>
      </w:pPr>
      <w:r w:rsidRPr="00196D4F">
        <w:rPr>
          <w:rFonts w:ascii="Arial" w:eastAsiaTheme="minorEastAsia" w:hAnsi="Arial" w:cs="Arial"/>
          <w:b/>
          <w:bCs/>
          <w:i/>
          <w:lang w:val="en-US"/>
        </w:rPr>
        <w:t>Interdependent Priorities Tool</w:t>
      </w:r>
      <w:r w:rsidRPr="00196D4F">
        <w:rPr>
          <w:rFonts w:ascii="Arial" w:eastAsiaTheme="minorEastAsia" w:hAnsi="Arial" w:cs="Arial"/>
          <w:bCs/>
          <w:lang w:val="en-US"/>
        </w:rPr>
        <w:t>-</w:t>
      </w:r>
      <w:r w:rsidRPr="00196D4F">
        <w:rPr>
          <w:rFonts w:ascii="Arial" w:eastAsiaTheme="minorEastAsia" w:hAnsi="Arial" w:cs="Arial"/>
          <w:lang w:val="en-US"/>
        </w:rPr>
        <w:t xml:space="preserve"> </w:t>
      </w:r>
      <w:r w:rsidRPr="00196D4F">
        <w:rPr>
          <w:rFonts w:ascii="Arial" w:eastAsiaTheme="minorEastAsia" w:hAnsi="Arial" w:cs="Arial"/>
          <w:bCs/>
          <w:lang w:val="en-US"/>
        </w:rPr>
        <w:t>Annual Performance Plan (APP)/ Budget and Annual Report for evidence of cooperation with other Departments; to find evidence of how the Dept. has leveraged off others’ resources vis-à-vis certain Priorities;</w:t>
      </w:r>
    </w:p>
    <w:p w14:paraId="1BEE9E1F" w14:textId="77777777" w:rsidR="000F6DF8" w:rsidRPr="00196D4F" w:rsidRDefault="000F6DF8" w:rsidP="000F6DF8">
      <w:pPr>
        <w:numPr>
          <w:ilvl w:val="0"/>
          <w:numId w:val="7"/>
        </w:numPr>
        <w:spacing w:line="360" w:lineRule="auto"/>
        <w:ind w:left="1560"/>
        <w:contextualSpacing/>
        <w:jc w:val="both"/>
        <w:rPr>
          <w:rFonts w:ascii="Arial" w:eastAsiaTheme="minorEastAsia" w:hAnsi="Arial" w:cs="Arial"/>
          <w:bCs/>
          <w:lang w:val="en-US"/>
        </w:rPr>
      </w:pPr>
      <w:r w:rsidRPr="00196D4F">
        <w:rPr>
          <w:rFonts w:ascii="Arial" w:eastAsiaTheme="minorEastAsia" w:hAnsi="Arial" w:cs="Arial"/>
          <w:b/>
          <w:bCs/>
          <w:i/>
          <w:lang w:val="en-US"/>
        </w:rPr>
        <w:t>The Programmatic Continuity Tool</w:t>
      </w:r>
      <w:r w:rsidRPr="00196D4F">
        <w:rPr>
          <w:rFonts w:ascii="Arial" w:eastAsiaTheme="minorEastAsia" w:hAnsi="Arial" w:cs="Arial"/>
          <w:bCs/>
          <w:lang w:val="en-US"/>
        </w:rPr>
        <w:t xml:space="preserve">- This tool tracks program lifespan and continuity to determine renamed or dropped programmes.  </w:t>
      </w:r>
    </w:p>
    <w:p w14:paraId="2C34C15D" w14:textId="77777777" w:rsidR="000F6DF8" w:rsidRPr="00196D4F" w:rsidRDefault="000F6DF8" w:rsidP="000F6DF8">
      <w:pPr>
        <w:numPr>
          <w:ilvl w:val="0"/>
          <w:numId w:val="7"/>
        </w:numPr>
        <w:spacing w:line="360" w:lineRule="auto"/>
        <w:ind w:left="1560"/>
        <w:contextualSpacing/>
        <w:jc w:val="both"/>
        <w:rPr>
          <w:rFonts w:ascii="Arial" w:eastAsiaTheme="minorEastAsia" w:hAnsi="Arial" w:cs="Arial"/>
          <w:bCs/>
          <w:lang w:val="en-US"/>
        </w:rPr>
      </w:pPr>
      <w:r w:rsidRPr="00196D4F">
        <w:rPr>
          <w:rFonts w:ascii="Arial" w:eastAsiaTheme="minorEastAsia" w:hAnsi="Arial" w:cs="Arial"/>
          <w:b/>
          <w:bCs/>
          <w:i/>
          <w:lang w:val="en-US"/>
        </w:rPr>
        <w:t>Information Level Test</w:t>
      </w:r>
      <w:r w:rsidRPr="00196D4F">
        <w:rPr>
          <w:rFonts w:ascii="Arial" w:eastAsiaTheme="minorEastAsia" w:hAnsi="Arial" w:cs="Arial"/>
          <w:bCs/>
          <w:lang w:val="en-US"/>
        </w:rPr>
        <w:t>-This tool assesses the data presented and its reliability and of a good quality.</w:t>
      </w:r>
    </w:p>
    <w:p w14:paraId="7EEAC5CD" w14:textId="77777777" w:rsidR="000F6DF8" w:rsidRPr="00EE3D5B" w:rsidRDefault="000F6DF8" w:rsidP="000F6DF8">
      <w:pPr>
        <w:numPr>
          <w:ilvl w:val="0"/>
          <w:numId w:val="7"/>
        </w:numPr>
        <w:spacing w:after="160" w:line="259" w:lineRule="auto"/>
        <w:ind w:left="1560"/>
        <w:contextualSpacing/>
        <w:rPr>
          <w:rFonts w:ascii="Arial" w:eastAsiaTheme="minorEastAsia" w:hAnsi="Arial" w:cs="Arial"/>
        </w:rPr>
      </w:pPr>
      <w:r w:rsidRPr="00196D4F">
        <w:rPr>
          <w:rFonts w:ascii="Arial" w:eastAsiaTheme="minorEastAsia" w:hAnsi="Arial" w:cs="Arial"/>
        </w:rPr>
        <w:t xml:space="preserve">The tools primarily: </w:t>
      </w:r>
    </w:p>
    <w:p w14:paraId="0FB35272" w14:textId="77777777" w:rsidR="000F6DF8" w:rsidRPr="00763CEB" w:rsidRDefault="000F6DF8" w:rsidP="004D3329">
      <w:pPr>
        <w:pStyle w:val="ListParagraph"/>
        <w:numPr>
          <w:ilvl w:val="0"/>
          <w:numId w:val="13"/>
        </w:numPr>
        <w:spacing w:after="160" w:line="360" w:lineRule="auto"/>
        <w:jc w:val="both"/>
        <w:rPr>
          <w:rFonts w:ascii="Arial" w:eastAsiaTheme="minorEastAsia" w:hAnsi="Arial" w:cs="Arial"/>
        </w:rPr>
      </w:pPr>
      <w:r w:rsidRPr="00763CEB">
        <w:rPr>
          <w:rFonts w:ascii="Arial" w:eastAsiaTheme="minorEastAsia" w:hAnsi="Arial" w:cs="Arial"/>
        </w:rPr>
        <w:t>offer various approaches to determine effectiveness /efficiency.</w:t>
      </w:r>
    </w:p>
    <w:p w14:paraId="6D6E9463" w14:textId="77777777" w:rsidR="000F6DF8" w:rsidRPr="00763CEB" w:rsidRDefault="000F6DF8" w:rsidP="004D3329">
      <w:pPr>
        <w:pStyle w:val="ListParagraph"/>
        <w:numPr>
          <w:ilvl w:val="0"/>
          <w:numId w:val="13"/>
        </w:numPr>
        <w:spacing w:after="160" w:line="360" w:lineRule="auto"/>
        <w:jc w:val="both"/>
        <w:rPr>
          <w:rFonts w:ascii="Arial" w:eastAsiaTheme="minorEastAsia" w:hAnsi="Arial" w:cs="Arial"/>
        </w:rPr>
      </w:pPr>
      <w:r w:rsidRPr="00763CEB">
        <w:rPr>
          <w:rFonts w:ascii="Arial" w:eastAsiaTheme="minorEastAsia" w:hAnsi="Arial" w:cs="Arial"/>
        </w:rPr>
        <w:t>highlight potential problems in Dept. submissions, e.g. a budget.</w:t>
      </w:r>
    </w:p>
    <w:p w14:paraId="463F83EA" w14:textId="77777777" w:rsidR="000F6DF8" w:rsidRPr="00763CEB" w:rsidRDefault="000F6DF8" w:rsidP="004D3329">
      <w:pPr>
        <w:pStyle w:val="ListParagraph"/>
        <w:numPr>
          <w:ilvl w:val="0"/>
          <w:numId w:val="13"/>
        </w:numPr>
        <w:spacing w:after="160" w:line="360" w:lineRule="auto"/>
        <w:jc w:val="both"/>
        <w:rPr>
          <w:rFonts w:ascii="Arial" w:eastAsiaTheme="minorEastAsia" w:hAnsi="Arial" w:cs="Arial"/>
        </w:rPr>
      </w:pPr>
      <w:r w:rsidRPr="00763CEB">
        <w:rPr>
          <w:rFonts w:ascii="Arial" w:eastAsiaTheme="minorEastAsia" w:hAnsi="Arial" w:cs="Arial"/>
        </w:rPr>
        <w:t>helps frame questions for Committees.</w:t>
      </w:r>
    </w:p>
    <w:p w14:paraId="0DB47BDB" w14:textId="77777777" w:rsidR="000F6DF8" w:rsidRPr="00763CEB" w:rsidRDefault="000F6DF8" w:rsidP="004D3329">
      <w:pPr>
        <w:pStyle w:val="ListParagraph"/>
        <w:numPr>
          <w:ilvl w:val="0"/>
          <w:numId w:val="13"/>
        </w:numPr>
        <w:spacing w:after="160" w:line="360" w:lineRule="auto"/>
        <w:jc w:val="both"/>
        <w:rPr>
          <w:rFonts w:ascii="Arial" w:eastAsiaTheme="minorEastAsia" w:hAnsi="Arial" w:cs="Arial"/>
          <w:bCs/>
          <w:lang w:val="en-US"/>
        </w:rPr>
      </w:pPr>
      <w:r w:rsidRPr="00763CEB">
        <w:rPr>
          <w:rFonts w:ascii="Arial" w:eastAsiaTheme="minorEastAsia" w:hAnsi="Arial" w:cs="Arial"/>
        </w:rPr>
        <w:t>helps to bolster the oversight process.</w:t>
      </w:r>
    </w:p>
    <w:p w14:paraId="60003DD9" w14:textId="77777777" w:rsidR="000F6DF8" w:rsidRDefault="000F6DF8" w:rsidP="004D3329">
      <w:pPr>
        <w:pStyle w:val="Heading1"/>
        <w:numPr>
          <w:ilvl w:val="0"/>
          <w:numId w:val="12"/>
        </w:numPr>
        <w:rPr>
          <w:rFonts w:ascii="Arial" w:eastAsia="Times New Roman" w:hAnsi="Arial" w:cs="Arial"/>
          <w:b/>
          <w:bCs/>
          <w:color w:val="auto"/>
          <w:sz w:val="24"/>
          <w:szCs w:val="24"/>
          <w:lang w:val="en-GB" w:eastAsia="ja-JP"/>
        </w:rPr>
      </w:pPr>
      <w:bookmarkStart w:id="7" w:name="_Toc146084277"/>
      <w:r w:rsidRPr="00763CEB">
        <w:rPr>
          <w:rFonts w:ascii="Arial" w:eastAsia="Times New Roman" w:hAnsi="Arial" w:cs="Arial"/>
          <w:b/>
          <w:bCs/>
          <w:color w:val="auto"/>
          <w:sz w:val="24"/>
          <w:szCs w:val="24"/>
          <w:lang w:val="en-GB" w:eastAsia="ja-JP"/>
        </w:rPr>
        <w:t>Section: Overall assessment of the departmental Annual Report.</w:t>
      </w:r>
      <w:bookmarkEnd w:id="7"/>
      <w:r w:rsidRPr="00763CEB">
        <w:rPr>
          <w:rFonts w:ascii="Arial" w:eastAsia="Times New Roman" w:hAnsi="Arial" w:cs="Arial"/>
          <w:b/>
          <w:bCs/>
          <w:color w:val="auto"/>
          <w:sz w:val="24"/>
          <w:szCs w:val="24"/>
          <w:lang w:val="en-GB" w:eastAsia="ja-JP"/>
        </w:rPr>
        <w:t xml:space="preserve"> </w:t>
      </w:r>
    </w:p>
    <w:p w14:paraId="04519E01" w14:textId="77777777" w:rsidR="000F6DF8" w:rsidRPr="00763CEB" w:rsidRDefault="000F6DF8" w:rsidP="000F6DF8">
      <w:pPr>
        <w:spacing w:after="160" w:line="259" w:lineRule="auto"/>
        <w:rPr>
          <w:lang w:val="en-GB" w:eastAsia="ja-JP"/>
        </w:rPr>
      </w:pPr>
    </w:p>
    <w:p w14:paraId="7A5F7D5F" w14:textId="77777777" w:rsidR="00D70C89" w:rsidRDefault="000F6DF8" w:rsidP="000F6DF8">
      <w:pPr>
        <w:spacing w:line="360" w:lineRule="auto"/>
        <w:jc w:val="both"/>
        <w:rPr>
          <w:rFonts w:ascii="Arial" w:eastAsiaTheme="minorEastAsia" w:hAnsi="Arial" w:cs="Arial"/>
        </w:rPr>
      </w:pPr>
      <w:r w:rsidRPr="009A290C">
        <w:rPr>
          <w:rFonts w:ascii="Arial" w:eastAsiaTheme="minorEastAsia" w:hAnsi="Arial" w:cs="Arial"/>
        </w:rPr>
        <w:t xml:space="preserve">It is evident from the analysis that the GPL achieved a </w:t>
      </w:r>
      <w:r>
        <w:rPr>
          <w:rFonts w:ascii="Arial" w:eastAsiaTheme="minorEastAsia" w:hAnsi="Arial" w:cs="Arial"/>
        </w:rPr>
        <w:t>C</w:t>
      </w:r>
      <w:r w:rsidRPr="009A290C">
        <w:rPr>
          <w:rFonts w:ascii="Arial" w:eastAsiaTheme="minorEastAsia" w:hAnsi="Arial" w:cs="Arial"/>
        </w:rPr>
        <w:t xml:space="preserve">lean </w:t>
      </w:r>
      <w:r>
        <w:rPr>
          <w:rFonts w:ascii="Arial" w:eastAsiaTheme="minorEastAsia" w:hAnsi="Arial" w:cs="Arial"/>
        </w:rPr>
        <w:t>A</w:t>
      </w:r>
      <w:r w:rsidRPr="009A290C">
        <w:rPr>
          <w:rFonts w:ascii="Arial" w:eastAsiaTheme="minorEastAsia" w:hAnsi="Arial" w:cs="Arial"/>
        </w:rPr>
        <w:t xml:space="preserve">udit during the period under review. </w:t>
      </w:r>
      <w:r w:rsidRPr="009A290C">
        <w:rPr>
          <w:rFonts w:ascii="Arial" w:eastAsiaTheme="minorEastAsia" w:hAnsi="Arial" w:cs="Arial"/>
          <w:b/>
        </w:rPr>
        <w:t xml:space="preserve"> </w:t>
      </w:r>
      <w:r w:rsidRPr="00232620">
        <w:rPr>
          <w:rFonts w:ascii="Arial" w:eastAsiaTheme="minorEastAsia" w:hAnsi="Arial" w:cs="Arial"/>
          <w:bCs/>
        </w:rPr>
        <w:t xml:space="preserve">This is third year running that the GPL has achieved a </w:t>
      </w:r>
      <w:r>
        <w:rPr>
          <w:rFonts w:ascii="Arial" w:eastAsiaTheme="minorEastAsia" w:hAnsi="Arial" w:cs="Arial"/>
          <w:bCs/>
        </w:rPr>
        <w:t>C</w:t>
      </w:r>
      <w:r w:rsidRPr="00232620">
        <w:rPr>
          <w:rFonts w:ascii="Arial" w:eastAsiaTheme="minorEastAsia" w:hAnsi="Arial" w:cs="Arial"/>
          <w:bCs/>
        </w:rPr>
        <w:t xml:space="preserve">lean </w:t>
      </w:r>
      <w:r>
        <w:rPr>
          <w:rFonts w:ascii="Arial" w:eastAsiaTheme="minorEastAsia" w:hAnsi="Arial" w:cs="Arial"/>
          <w:bCs/>
        </w:rPr>
        <w:t>A</w:t>
      </w:r>
      <w:r w:rsidRPr="00232620">
        <w:rPr>
          <w:rFonts w:ascii="Arial" w:eastAsiaTheme="minorEastAsia" w:hAnsi="Arial" w:cs="Arial"/>
          <w:bCs/>
        </w:rPr>
        <w:t xml:space="preserve">udit finding. </w:t>
      </w:r>
      <w:r w:rsidRPr="00232620">
        <w:rPr>
          <w:rFonts w:ascii="Arial" w:hAnsi="Arial" w:cs="Arial"/>
        </w:rPr>
        <w:t>It should be noted that the overall institutional performance has achieved 83%, whereby 1</w:t>
      </w:r>
      <w:r>
        <w:rPr>
          <w:rFonts w:ascii="Arial" w:hAnsi="Arial" w:cs="Arial"/>
        </w:rPr>
        <w:t>9</w:t>
      </w:r>
      <w:r w:rsidRPr="00232620">
        <w:rPr>
          <w:rFonts w:ascii="Arial" w:hAnsi="Arial" w:cs="Arial"/>
        </w:rPr>
        <w:t xml:space="preserve"> out of the 2</w:t>
      </w:r>
      <w:r>
        <w:rPr>
          <w:rFonts w:ascii="Arial" w:hAnsi="Arial" w:cs="Arial"/>
        </w:rPr>
        <w:t>3</w:t>
      </w:r>
      <w:r w:rsidRPr="00232620">
        <w:rPr>
          <w:rFonts w:ascii="Arial" w:hAnsi="Arial" w:cs="Arial"/>
        </w:rPr>
        <w:t xml:space="preserve"> planned performance indicators/targets were achieved </w:t>
      </w:r>
      <w:r w:rsidRPr="00232620">
        <w:rPr>
          <w:rFonts w:ascii="Arial" w:eastAsiaTheme="minorEastAsia" w:hAnsi="Arial" w:cs="Arial"/>
        </w:rPr>
        <w:t xml:space="preserve">during the year under review. </w:t>
      </w:r>
    </w:p>
    <w:p w14:paraId="5365AF9D" w14:textId="77777777" w:rsidR="00D70C89" w:rsidRDefault="00D70C89" w:rsidP="000F6DF8">
      <w:pPr>
        <w:spacing w:line="360" w:lineRule="auto"/>
        <w:jc w:val="both"/>
        <w:rPr>
          <w:rFonts w:ascii="Arial" w:eastAsiaTheme="minorEastAsia" w:hAnsi="Arial" w:cs="Arial"/>
        </w:rPr>
      </w:pPr>
    </w:p>
    <w:p w14:paraId="5E4D5256" w14:textId="3C5992E8" w:rsidR="000F6DF8" w:rsidRPr="00D70C89" w:rsidRDefault="000F6DF8" w:rsidP="000F6DF8">
      <w:pPr>
        <w:spacing w:line="360" w:lineRule="auto"/>
        <w:jc w:val="both"/>
        <w:rPr>
          <w:rFonts w:ascii="Arial" w:eastAsiaTheme="minorEastAsia" w:hAnsi="Arial" w:cs="Arial"/>
          <w:bCs/>
        </w:rPr>
      </w:pPr>
      <w:r w:rsidRPr="00232620">
        <w:rPr>
          <w:rFonts w:ascii="Arial" w:eastAsiaTheme="minorEastAsia" w:hAnsi="Arial" w:cs="Arial"/>
        </w:rPr>
        <w:t xml:space="preserve">In terms of the budget expenditure performance the GPL was allocated a budget of R825.16 million and it spent R756 million, and this represented 91.6% expenditure pattern. It underspent by R68.97 million and this is attributed to: </w:t>
      </w:r>
    </w:p>
    <w:p w14:paraId="575C9E62" w14:textId="77777777" w:rsidR="000F6DF8" w:rsidRDefault="000F6DF8" w:rsidP="004D3329">
      <w:pPr>
        <w:numPr>
          <w:ilvl w:val="0"/>
          <w:numId w:val="11"/>
        </w:numPr>
        <w:spacing w:after="200" w:line="360" w:lineRule="auto"/>
        <w:contextualSpacing/>
        <w:jc w:val="both"/>
        <w:rPr>
          <w:rFonts w:ascii="Arial" w:eastAsiaTheme="minorEastAsia" w:hAnsi="Arial" w:cs="Arial"/>
          <w:bCs/>
        </w:rPr>
      </w:pPr>
      <w:r w:rsidRPr="00196D4F">
        <w:rPr>
          <w:rFonts w:ascii="Arial" w:eastAsiaTheme="minorEastAsia" w:hAnsi="Arial" w:cs="Arial"/>
          <w:bCs/>
        </w:rPr>
        <w:t>Personnel expenditure consequential to approved positions not filled.</w:t>
      </w:r>
    </w:p>
    <w:p w14:paraId="1734FA15" w14:textId="77777777" w:rsidR="000F6DF8" w:rsidRPr="00196D4F" w:rsidRDefault="000F6DF8" w:rsidP="004D3329">
      <w:pPr>
        <w:numPr>
          <w:ilvl w:val="0"/>
          <w:numId w:val="11"/>
        </w:numPr>
        <w:spacing w:after="200" w:line="360" w:lineRule="auto"/>
        <w:contextualSpacing/>
        <w:jc w:val="both"/>
        <w:rPr>
          <w:rFonts w:ascii="Arial" w:eastAsiaTheme="minorEastAsia" w:hAnsi="Arial" w:cs="Arial"/>
          <w:bCs/>
        </w:rPr>
      </w:pPr>
      <w:r>
        <w:rPr>
          <w:rFonts w:ascii="Arial" w:eastAsiaTheme="minorEastAsia" w:hAnsi="Arial" w:cs="Arial"/>
          <w:bCs/>
        </w:rPr>
        <w:t>Planned but not executed activities.</w:t>
      </w:r>
    </w:p>
    <w:p w14:paraId="666AC15B" w14:textId="77777777" w:rsidR="000F6DF8" w:rsidRPr="00353C75" w:rsidRDefault="000F6DF8" w:rsidP="000F6DF8">
      <w:pPr>
        <w:spacing w:after="200" w:line="360" w:lineRule="auto"/>
        <w:ind w:left="1571"/>
        <w:contextualSpacing/>
        <w:jc w:val="both"/>
        <w:rPr>
          <w:rFonts w:ascii="Arial" w:eastAsiaTheme="minorEastAsia" w:hAnsi="Arial" w:cs="Arial"/>
          <w:bCs/>
        </w:rPr>
      </w:pPr>
    </w:p>
    <w:p w14:paraId="2888B613" w14:textId="77777777" w:rsidR="000F6DF8" w:rsidRPr="0072715B" w:rsidRDefault="000F6DF8" w:rsidP="000F6DF8">
      <w:pPr>
        <w:spacing w:line="360" w:lineRule="auto"/>
        <w:jc w:val="both"/>
        <w:rPr>
          <w:rFonts w:ascii="Arial" w:eastAsiaTheme="minorEastAsia" w:hAnsi="Arial" w:cs="Arial"/>
          <w:bCs/>
        </w:rPr>
      </w:pPr>
      <w:r w:rsidRPr="0072715B">
        <w:rPr>
          <w:rFonts w:ascii="Arial" w:eastAsiaTheme="minorEastAsia" w:hAnsi="Arial" w:cs="Arial"/>
          <w:bCs/>
        </w:rPr>
        <w:t>The above provided reasons for budget underperformance are the same ones that were provided during the quarterly and the 20</w:t>
      </w:r>
      <w:r>
        <w:rPr>
          <w:rFonts w:ascii="Arial" w:eastAsiaTheme="minorEastAsia" w:hAnsi="Arial" w:cs="Arial"/>
          <w:bCs/>
        </w:rPr>
        <w:t>20/21</w:t>
      </w:r>
      <w:r w:rsidRPr="0072715B">
        <w:rPr>
          <w:rFonts w:ascii="Arial" w:eastAsiaTheme="minorEastAsia" w:hAnsi="Arial" w:cs="Arial"/>
          <w:bCs/>
        </w:rPr>
        <w:t xml:space="preserve"> annual reporting periods. The Committee should be concerned with this recurring variance on the budget spending. </w:t>
      </w:r>
    </w:p>
    <w:p w14:paraId="1FBDAD9A" w14:textId="77777777" w:rsidR="000F6DF8" w:rsidRDefault="000F6DF8" w:rsidP="000F6DF8">
      <w:pPr>
        <w:spacing w:line="360" w:lineRule="auto"/>
        <w:jc w:val="both"/>
        <w:rPr>
          <w:rFonts w:ascii="Arial" w:eastAsiaTheme="minorEastAsia" w:hAnsi="Arial" w:cs="Arial"/>
          <w:bCs/>
        </w:rPr>
      </w:pPr>
      <w:r w:rsidRPr="0072715B">
        <w:rPr>
          <w:rFonts w:ascii="Arial" w:eastAsiaTheme="minorEastAsia" w:hAnsi="Arial" w:cs="Arial"/>
          <w:bCs/>
        </w:rPr>
        <w:t xml:space="preserve">During the period under review, the GPL continued to hold the Executive to account through a myriad imperatives of the SOM. </w:t>
      </w:r>
      <w:r>
        <w:rPr>
          <w:rFonts w:ascii="Arial" w:eastAsiaTheme="minorEastAsia" w:hAnsi="Arial" w:cs="Arial"/>
          <w:bCs/>
        </w:rPr>
        <w:t xml:space="preserve">These were done through the achievements on the Strategic Outcomes. With respect to Strategic Objective 01: Enhanced Oversight and Accountability towards service delivery: The GPL continued to discharge its oversight and scrutiny on the work of the Executive. Quarterly, budget and annual as well as FIS reports were adopted. Furthermore, question papers were produced and communicated to all MPLs. There was an improved consideration of responses to resolutions of the House. </w:t>
      </w:r>
    </w:p>
    <w:p w14:paraId="4AB9B759" w14:textId="77777777" w:rsidR="000F6DF8" w:rsidRDefault="000F6DF8" w:rsidP="000F6DF8">
      <w:pPr>
        <w:spacing w:line="360" w:lineRule="auto"/>
        <w:rPr>
          <w:rFonts w:ascii="Arial" w:eastAsiaTheme="minorEastAsia" w:hAnsi="Arial" w:cs="Arial"/>
          <w:bCs/>
        </w:rPr>
      </w:pPr>
    </w:p>
    <w:p w14:paraId="29C1D037" w14:textId="143CCA1D" w:rsidR="000F6DF8" w:rsidRDefault="000F6DF8" w:rsidP="000F6DF8">
      <w:pPr>
        <w:spacing w:line="360" w:lineRule="auto"/>
        <w:jc w:val="both"/>
        <w:rPr>
          <w:rFonts w:ascii="Arial" w:eastAsiaTheme="minorEastAsia" w:hAnsi="Arial" w:cs="Arial"/>
          <w:bCs/>
        </w:rPr>
      </w:pPr>
      <w:r>
        <w:rPr>
          <w:rFonts w:ascii="Arial" w:eastAsiaTheme="minorEastAsia" w:hAnsi="Arial" w:cs="Arial"/>
          <w:bCs/>
        </w:rPr>
        <w:t xml:space="preserve">With respect to Strategic Objective 02: Increased Responsiveness of Laws to meet need of the people of Gauteng: The GPL was able to process a number of Bills, these were Section 76 and 77 as well as Provincial Bills. In terms of the Strategic Objective 03: Enhanced Meaningful Public Participation. The GPL was able to undertake public participation and stakeholder engagements throughout the province. Several civic education initiatives were held as part of raising awareness of the work of House and Committees. </w:t>
      </w:r>
      <w:bookmarkStart w:id="8" w:name="_Hlk145941890"/>
      <w:r>
        <w:rPr>
          <w:rFonts w:ascii="Arial" w:eastAsiaTheme="minorEastAsia" w:hAnsi="Arial" w:cs="Arial"/>
          <w:bCs/>
        </w:rPr>
        <w:t>Preparatory workshops with identified stakeholders of the Childrens, Youth and Women’s Sectoral Parliaments. An economic seminar was also held as part of stakeholder engagement. Both social and traditional media used to promote the work done by the GPL and its Committees. Virtual and face to face interactions were intensified during the period under review as a result of lifting of the state of disaster during the period under review. This was to ensure that the people of the province participated in the business of the legislature.</w:t>
      </w:r>
      <w:bookmarkEnd w:id="8"/>
      <w:r>
        <w:rPr>
          <w:rFonts w:ascii="Arial" w:eastAsiaTheme="minorEastAsia" w:hAnsi="Arial" w:cs="Arial"/>
          <w:bCs/>
        </w:rPr>
        <w:t xml:space="preserve"> </w:t>
      </w:r>
    </w:p>
    <w:p w14:paraId="2F2E09DA" w14:textId="77777777" w:rsidR="00D70C89" w:rsidRDefault="00D70C89" w:rsidP="000F6DF8">
      <w:pPr>
        <w:spacing w:line="360" w:lineRule="auto"/>
        <w:jc w:val="both"/>
        <w:rPr>
          <w:rFonts w:ascii="Arial" w:eastAsiaTheme="minorEastAsia" w:hAnsi="Arial" w:cs="Arial"/>
          <w:bCs/>
        </w:rPr>
      </w:pPr>
    </w:p>
    <w:p w14:paraId="0B5D9BC2" w14:textId="77777777" w:rsidR="000F6DF8" w:rsidRDefault="000F6DF8" w:rsidP="000F6DF8">
      <w:pPr>
        <w:spacing w:line="360" w:lineRule="auto"/>
        <w:jc w:val="both"/>
        <w:rPr>
          <w:rFonts w:ascii="Arial" w:eastAsiaTheme="minorEastAsia" w:hAnsi="Arial" w:cs="Arial"/>
          <w:bCs/>
        </w:rPr>
      </w:pPr>
      <w:r>
        <w:rPr>
          <w:rFonts w:ascii="Arial" w:eastAsiaTheme="minorEastAsia" w:hAnsi="Arial" w:cs="Arial"/>
          <w:bCs/>
        </w:rPr>
        <w:t xml:space="preserve">In terms of Strategic Objective 04: Improved alignment and collaboration between organs of the state, the GPL continued to collaborate with various organs of state during the period under review. At the centre of such activities was a way of strengthening the legislative sector. With respect to Strategic Objective 05: Enhanced compliance with all relevant fiduciary requirements and principles of good governance, the GPL achieved and maintained an Unqualified Opinion without material findings. As part of entrenching ethical conduct, the GPL conducted an e-disclosure of all public officials as well declaration of interest of MPLs. </w:t>
      </w:r>
    </w:p>
    <w:p w14:paraId="212D29C9" w14:textId="77777777" w:rsidR="000F6DF8" w:rsidRPr="00196D4F" w:rsidRDefault="000F6DF8" w:rsidP="000F6DF8">
      <w:pPr>
        <w:spacing w:line="360" w:lineRule="auto"/>
        <w:jc w:val="both"/>
        <w:rPr>
          <w:rFonts w:ascii="Arial" w:eastAsiaTheme="minorEastAsia" w:hAnsi="Arial" w:cs="Arial"/>
          <w:bCs/>
        </w:rPr>
      </w:pPr>
      <w:r w:rsidRPr="00196D4F">
        <w:rPr>
          <w:rFonts w:ascii="Arial" w:eastAsiaTheme="minorEastAsia" w:hAnsi="Arial" w:cs="Arial"/>
          <w:bCs/>
        </w:rPr>
        <w:t>Another observation is that the Annual Report does not reflect on outcomes and impact but rather on inputs and outputs which are administrative in nature. The Committee should then express a concern</w:t>
      </w:r>
      <w:r>
        <w:rPr>
          <w:rFonts w:ascii="Arial" w:eastAsiaTheme="minorEastAsia" w:hAnsi="Arial" w:cs="Arial"/>
          <w:bCs/>
        </w:rPr>
        <w:t xml:space="preserve">. </w:t>
      </w:r>
      <w:r w:rsidRPr="00196D4F">
        <w:rPr>
          <w:rFonts w:ascii="Arial" w:eastAsiaTheme="minorEastAsia" w:hAnsi="Arial" w:cs="Arial"/>
          <w:bCs/>
        </w:rPr>
        <w:t xml:space="preserve"> </w:t>
      </w:r>
    </w:p>
    <w:p w14:paraId="5CA8C25C" w14:textId="77777777" w:rsidR="000F6DF8" w:rsidRPr="00763CEB" w:rsidRDefault="000F6DF8" w:rsidP="004D3329">
      <w:pPr>
        <w:pStyle w:val="Heading1"/>
        <w:numPr>
          <w:ilvl w:val="0"/>
          <w:numId w:val="12"/>
        </w:numPr>
        <w:rPr>
          <w:rFonts w:ascii="Arial" w:eastAsia="Times New Roman" w:hAnsi="Arial" w:cs="Arial"/>
          <w:b/>
          <w:bCs/>
          <w:sz w:val="24"/>
          <w:szCs w:val="24"/>
          <w:lang w:val="en-GB" w:eastAsia="ja-JP"/>
        </w:rPr>
      </w:pPr>
      <w:bookmarkStart w:id="9" w:name="_Toc146084278"/>
      <w:r w:rsidRPr="00763CEB">
        <w:rPr>
          <w:rFonts w:ascii="Arial" w:eastAsia="Times New Roman" w:hAnsi="Arial" w:cs="Arial"/>
          <w:b/>
          <w:bCs/>
          <w:color w:val="auto"/>
          <w:sz w:val="24"/>
          <w:szCs w:val="24"/>
          <w:lang w:val="en-GB" w:eastAsia="ja-JP"/>
        </w:rPr>
        <w:t>Section: The Legislative and Legal Frameworks for the Analysis</w:t>
      </w:r>
      <w:bookmarkEnd w:id="9"/>
    </w:p>
    <w:p w14:paraId="5135220E" w14:textId="77777777" w:rsidR="000F6DF8" w:rsidRDefault="000F6DF8" w:rsidP="004D3329">
      <w:pPr>
        <w:pStyle w:val="Heading2"/>
        <w:numPr>
          <w:ilvl w:val="1"/>
          <w:numId w:val="12"/>
        </w:numPr>
        <w:rPr>
          <w:rFonts w:ascii="Arial" w:eastAsiaTheme="minorEastAsia" w:hAnsi="Arial" w:cs="Arial"/>
          <w:b/>
          <w:bCs/>
          <w:color w:val="auto"/>
          <w:sz w:val="24"/>
          <w:szCs w:val="24"/>
        </w:rPr>
      </w:pPr>
      <w:bookmarkStart w:id="10" w:name="_Toc146084279"/>
      <w:r w:rsidRPr="00763CEB">
        <w:rPr>
          <w:rFonts w:ascii="Arial" w:eastAsiaTheme="minorEastAsia" w:hAnsi="Arial" w:cs="Arial"/>
          <w:b/>
          <w:bCs/>
          <w:color w:val="auto"/>
          <w:sz w:val="24"/>
          <w:szCs w:val="24"/>
        </w:rPr>
        <w:t>The Doctrine of Separation of Powers</w:t>
      </w:r>
      <w:bookmarkEnd w:id="10"/>
    </w:p>
    <w:p w14:paraId="7E685CBB" w14:textId="77777777" w:rsidR="000F6DF8" w:rsidRPr="00682228" w:rsidRDefault="000F6DF8" w:rsidP="000F6DF8">
      <w:pPr>
        <w:pStyle w:val="ListParagraph"/>
        <w:ind w:left="760"/>
      </w:pPr>
    </w:p>
    <w:p w14:paraId="04BA767C" w14:textId="77777777" w:rsidR="000F6DF8" w:rsidRPr="00196D4F" w:rsidRDefault="000F6DF8" w:rsidP="000F6DF8">
      <w:pPr>
        <w:spacing w:line="360" w:lineRule="auto"/>
        <w:jc w:val="both"/>
        <w:rPr>
          <w:rFonts w:ascii="Arial" w:eastAsiaTheme="minorEastAsia" w:hAnsi="Arial" w:cs="Arial"/>
        </w:rPr>
      </w:pPr>
      <w:r w:rsidRPr="00196D4F">
        <w:rPr>
          <w:rFonts w:ascii="Arial" w:eastAsiaTheme="minorEastAsia" w:hAnsi="Arial" w:cs="Arial"/>
        </w:rPr>
        <w:t>The modern design of the doctrine of separation of power is to be found in the constitutional theory of John Locke (1632-1704), when he wrote in the second treaties of civil government</w:t>
      </w:r>
      <w:r w:rsidRPr="00196D4F">
        <w:rPr>
          <w:rFonts w:ascii="Arial" w:eastAsiaTheme="minorEastAsia" w:hAnsi="Arial" w:cs="Arial"/>
          <w:vertAlign w:val="superscript"/>
        </w:rPr>
        <w:footnoteReference w:id="3"/>
      </w:r>
      <w:r w:rsidRPr="00196D4F">
        <w:rPr>
          <w:rFonts w:ascii="Arial" w:eastAsiaTheme="minorEastAsia" w:hAnsi="Arial" w:cs="Arial"/>
        </w:rPr>
        <w:t>. However, it is the French philosopher Montesquieu (1689-1755) who is credited with the formulation of this doctrine. He was advocating for the three pillars of state authority, which includes the executive, legislature and judicial functions</w:t>
      </w:r>
      <w:r w:rsidRPr="00196D4F">
        <w:rPr>
          <w:rFonts w:ascii="Arial" w:eastAsiaTheme="minorEastAsia" w:hAnsi="Arial" w:cs="Arial"/>
          <w:vertAlign w:val="superscript"/>
        </w:rPr>
        <w:footnoteReference w:id="4"/>
      </w:r>
      <w:r w:rsidRPr="00196D4F">
        <w:rPr>
          <w:rFonts w:ascii="Arial" w:eastAsiaTheme="minorEastAsia" w:hAnsi="Arial" w:cs="Arial"/>
        </w:rPr>
        <w:t xml:space="preserve">. This doctrine means that specific functions, duties and responsibilities are allocated to distinctive institutions with a defined means of competence and jurisdiction. The objective of this is to “prevent the abuse of power within different spheres of government” as argued by Mojapelo, 2012:37. </w:t>
      </w:r>
    </w:p>
    <w:p w14:paraId="006032F7" w14:textId="77777777" w:rsidR="000F6DF8" w:rsidRPr="00196D4F" w:rsidRDefault="000F6DF8" w:rsidP="000F6DF8">
      <w:pPr>
        <w:spacing w:line="360" w:lineRule="auto"/>
        <w:jc w:val="both"/>
        <w:rPr>
          <w:rFonts w:ascii="Arial" w:eastAsiaTheme="minorEastAsia" w:hAnsi="Arial" w:cs="Arial"/>
        </w:rPr>
      </w:pPr>
      <w:r w:rsidRPr="00196D4F">
        <w:rPr>
          <w:rFonts w:ascii="Arial" w:eastAsiaTheme="minorEastAsia" w:hAnsi="Arial" w:cs="Arial"/>
        </w:rPr>
        <w:t xml:space="preserve">The doctrine of separation of powers is a central feature of the South Africa’s constitutional order as a way of ensuring that different branches of government control each other internally (checks) and serves as a counterweight to the power possessed by the other branches (balances). Simply put, it limits the power and ensure accountability. </w:t>
      </w:r>
    </w:p>
    <w:p w14:paraId="058FDEE3" w14:textId="77777777" w:rsidR="000F6DF8" w:rsidRPr="00763CEB" w:rsidRDefault="000F6DF8" w:rsidP="000F6DF8">
      <w:pPr>
        <w:pStyle w:val="Heading2"/>
        <w:rPr>
          <w:rFonts w:ascii="Arial" w:eastAsiaTheme="minorEastAsia" w:hAnsi="Arial" w:cs="Arial"/>
          <w:b/>
          <w:bCs/>
          <w:sz w:val="24"/>
          <w:szCs w:val="24"/>
        </w:rPr>
      </w:pPr>
      <w:bookmarkStart w:id="11" w:name="_Toc146084280"/>
      <w:r w:rsidRPr="00763CEB">
        <w:rPr>
          <w:rFonts w:ascii="Arial" w:eastAsiaTheme="minorEastAsia" w:hAnsi="Arial" w:cs="Arial"/>
          <w:b/>
          <w:bCs/>
          <w:color w:val="auto"/>
          <w:sz w:val="24"/>
          <w:szCs w:val="24"/>
        </w:rPr>
        <w:t>3.2 The Constitution of the Republic of South Africa</w:t>
      </w:r>
      <w:bookmarkEnd w:id="11"/>
    </w:p>
    <w:p w14:paraId="7B6663EF" w14:textId="77777777" w:rsidR="000F6DF8" w:rsidRPr="00196D4F" w:rsidRDefault="000F6DF8" w:rsidP="000F6DF8">
      <w:pPr>
        <w:spacing w:line="360" w:lineRule="auto"/>
        <w:jc w:val="both"/>
        <w:rPr>
          <w:rFonts w:ascii="Arial" w:eastAsiaTheme="minorEastAsia" w:hAnsi="Arial" w:cs="Arial"/>
        </w:rPr>
      </w:pPr>
      <w:r w:rsidRPr="00196D4F">
        <w:rPr>
          <w:rFonts w:ascii="Arial" w:eastAsiaTheme="minorEastAsia" w:hAnsi="Arial" w:cs="Arial"/>
        </w:rPr>
        <w:t>The Constitution of the Republic of South Africa provides an oversight mechanism. Section 114(2) states that: A provincial legislature must provide mechanism-</w:t>
      </w:r>
    </w:p>
    <w:p w14:paraId="2214BC40" w14:textId="77777777" w:rsidR="000F6DF8" w:rsidRPr="00196D4F" w:rsidRDefault="000F6DF8" w:rsidP="000F6DF8">
      <w:pPr>
        <w:numPr>
          <w:ilvl w:val="0"/>
          <w:numId w:val="4"/>
        </w:numPr>
        <w:spacing w:after="160" w:line="360" w:lineRule="auto"/>
        <w:contextualSpacing/>
        <w:jc w:val="both"/>
        <w:rPr>
          <w:rFonts w:ascii="Arial" w:eastAsiaTheme="minorEastAsia" w:hAnsi="Arial" w:cs="Arial"/>
        </w:rPr>
      </w:pPr>
      <w:r w:rsidRPr="00196D4F">
        <w:rPr>
          <w:rFonts w:ascii="Arial" w:eastAsiaTheme="minorEastAsia" w:hAnsi="Arial" w:cs="Arial"/>
        </w:rPr>
        <w:t>to ensure that all provincial executive organs of state in the province are accountable to it; and</w:t>
      </w:r>
    </w:p>
    <w:p w14:paraId="1086B0A7" w14:textId="77777777" w:rsidR="000F6DF8" w:rsidRPr="00196D4F" w:rsidRDefault="000F6DF8" w:rsidP="000F6DF8">
      <w:pPr>
        <w:numPr>
          <w:ilvl w:val="0"/>
          <w:numId w:val="4"/>
        </w:numPr>
        <w:spacing w:after="160" w:line="360" w:lineRule="auto"/>
        <w:contextualSpacing/>
        <w:jc w:val="both"/>
        <w:rPr>
          <w:rFonts w:ascii="Arial" w:eastAsiaTheme="minorEastAsia" w:hAnsi="Arial" w:cs="Arial"/>
        </w:rPr>
      </w:pPr>
      <w:r w:rsidRPr="00196D4F">
        <w:rPr>
          <w:rFonts w:ascii="Arial" w:eastAsiaTheme="minorEastAsia" w:hAnsi="Arial" w:cs="Arial"/>
        </w:rPr>
        <w:t>to maintain oversight of-</w:t>
      </w:r>
    </w:p>
    <w:p w14:paraId="1A33C27F" w14:textId="77777777" w:rsidR="000F6DF8" w:rsidRPr="00196D4F" w:rsidRDefault="000F6DF8" w:rsidP="000F6DF8">
      <w:pPr>
        <w:numPr>
          <w:ilvl w:val="0"/>
          <w:numId w:val="3"/>
        </w:numPr>
        <w:spacing w:after="160" w:line="360" w:lineRule="auto"/>
        <w:contextualSpacing/>
        <w:jc w:val="both"/>
        <w:rPr>
          <w:rFonts w:ascii="Arial" w:eastAsiaTheme="minorEastAsia" w:hAnsi="Arial" w:cs="Arial"/>
        </w:rPr>
      </w:pPr>
      <w:r w:rsidRPr="00196D4F">
        <w:rPr>
          <w:rFonts w:ascii="Arial" w:eastAsiaTheme="minorEastAsia" w:hAnsi="Arial" w:cs="Arial"/>
        </w:rPr>
        <w:t>the exercise of provincial executive authority in the province, including the implementation of legislation; and</w:t>
      </w:r>
    </w:p>
    <w:p w14:paraId="4EB95515" w14:textId="77777777" w:rsidR="000F6DF8" w:rsidRPr="00682228" w:rsidRDefault="000F6DF8" w:rsidP="000F6DF8">
      <w:pPr>
        <w:numPr>
          <w:ilvl w:val="0"/>
          <w:numId w:val="3"/>
        </w:numPr>
        <w:spacing w:after="160" w:line="360" w:lineRule="auto"/>
        <w:contextualSpacing/>
        <w:jc w:val="both"/>
        <w:rPr>
          <w:rFonts w:ascii="Arial" w:eastAsiaTheme="minorEastAsia" w:hAnsi="Arial" w:cs="Arial"/>
        </w:rPr>
      </w:pPr>
      <w:r w:rsidRPr="00196D4F">
        <w:rPr>
          <w:rFonts w:ascii="Arial" w:eastAsiaTheme="minorEastAsia" w:hAnsi="Arial" w:cs="Arial"/>
        </w:rPr>
        <w:t>any provincial organ of state</w:t>
      </w:r>
      <w:r w:rsidRPr="00196D4F">
        <w:rPr>
          <w:rFonts w:ascii="Arial" w:eastAsiaTheme="minorEastAsia" w:hAnsi="Arial" w:cs="Arial"/>
          <w:vertAlign w:val="superscript"/>
        </w:rPr>
        <w:footnoteReference w:id="5"/>
      </w:r>
      <w:r w:rsidRPr="00196D4F">
        <w:rPr>
          <w:rFonts w:ascii="Arial" w:eastAsiaTheme="minorEastAsia" w:hAnsi="Arial" w:cs="Arial"/>
        </w:rPr>
        <w:t xml:space="preserve">. </w:t>
      </w:r>
    </w:p>
    <w:p w14:paraId="3701E364" w14:textId="77777777" w:rsidR="000F6DF8" w:rsidRDefault="000F6DF8" w:rsidP="004D3329">
      <w:pPr>
        <w:pStyle w:val="Heading2"/>
        <w:numPr>
          <w:ilvl w:val="1"/>
          <w:numId w:val="12"/>
        </w:numPr>
        <w:rPr>
          <w:rFonts w:ascii="Arial" w:eastAsiaTheme="minorEastAsia" w:hAnsi="Arial" w:cs="Arial"/>
          <w:b/>
          <w:bCs/>
          <w:color w:val="auto"/>
          <w:sz w:val="24"/>
          <w:szCs w:val="24"/>
        </w:rPr>
      </w:pPr>
      <w:bookmarkStart w:id="12" w:name="_Toc146084281"/>
      <w:r w:rsidRPr="00763CEB">
        <w:rPr>
          <w:rFonts w:ascii="Arial" w:eastAsiaTheme="minorEastAsia" w:hAnsi="Arial" w:cs="Arial"/>
          <w:b/>
          <w:bCs/>
          <w:color w:val="auto"/>
          <w:sz w:val="24"/>
          <w:szCs w:val="24"/>
        </w:rPr>
        <w:t>Financial Management Act of Parliament and Provincial Legislatures</w:t>
      </w:r>
      <w:bookmarkEnd w:id="12"/>
    </w:p>
    <w:p w14:paraId="5E7D4838" w14:textId="77777777" w:rsidR="000F6DF8" w:rsidRPr="00682228" w:rsidRDefault="000F6DF8" w:rsidP="000F6DF8">
      <w:pPr>
        <w:pStyle w:val="ListParagraph"/>
        <w:ind w:left="760"/>
      </w:pPr>
    </w:p>
    <w:p w14:paraId="074884D5" w14:textId="77777777" w:rsidR="000F6DF8" w:rsidRPr="00196D4F" w:rsidRDefault="000F6DF8" w:rsidP="000F6DF8">
      <w:pPr>
        <w:spacing w:line="360" w:lineRule="auto"/>
        <w:jc w:val="both"/>
        <w:rPr>
          <w:rFonts w:ascii="Arial" w:eastAsiaTheme="minorEastAsia" w:hAnsi="Arial" w:cs="Arial"/>
        </w:rPr>
      </w:pPr>
      <w:r w:rsidRPr="00196D4F">
        <w:rPr>
          <w:rFonts w:ascii="Arial" w:eastAsiaTheme="minorEastAsia" w:hAnsi="Arial" w:cs="Arial"/>
        </w:rPr>
        <w:t>The financial management processes of the Gauteng Provincial Legislature are derived from Financial Management Act of Parliament and Provincial Legislatures Act 10 of 2009 as amended in 2014. This legislation aims to ensure transparency, accountability and sound management of revenue, expenditure, assets liabilities of Parliament and Provincial Legislatures</w:t>
      </w:r>
      <w:r w:rsidRPr="00196D4F">
        <w:rPr>
          <w:rFonts w:ascii="Arial" w:eastAsiaTheme="minorEastAsia" w:hAnsi="Arial" w:cs="Arial"/>
          <w:vertAlign w:val="superscript"/>
        </w:rPr>
        <w:footnoteReference w:id="6"/>
      </w:r>
      <w:r w:rsidRPr="00196D4F">
        <w:rPr>
          <w:rFonts w:ascii="Arial" w:eastAsiaTheme="minorEastAsia" w:hAnsi="Arial" w:cs="Arial"/>
        </w:rPr>
        <w:t xml:space="preserve">. This legislation is consistent with the constitutional status of both Parliament and the Provincial Legislatures. </w:t>
      </w:r>
    </w:p>
    <w:p w14:paraId="041C95DB" w14:textId="77777777" w:rsidR="000F6DF8" w:rsidRDefault="000F6DF8" w:rsidP="004D3329">
      <w:pPr>
        <w:pStyle w:val="Heading2"/>
        <w:numPr>
          <w:ilvl w:val="1"/>
          <w:numId w:val="12"/>
        </w:numPr>
        <w:rPr>
          <w:rFonts w:ascii="Arial" w:eastAsiaTheme="minorEastAsia" w:hAnsi="Arial" w:cs="Arial"/>
          <w:b/>
          <w:bCs/>
          <w:color w:val="auto"/>
          <w:sz w:val="24"/>
          <w:szCs w:val="24"/>
        </w:rPr>
      </w:pPr>
      <w:bookmarkStart w:id="13" w:name="_Toc146084282"/>
      <w:r w:rsidRPr="00763CEB">
        <w:rPr>
          <w:rFonts w:ascii="Arial" w:eastAsiaTheme="minorEastAsia" w:hAnsi="Arial" w:cs="Arial"/>
          <w:b/>
          <w:bCs/>
          <w:color w:val="auto"/>
          <w:sz w:val="24"/>
          <w:szCs w:val="24"/>
        </w:rPr>
        <w:t>Legislature Sector Oversight Model</w:t>
      </w:r>
      <w:bookmarkEnd w:id="13"/>
    </w:p>
    <w:p w14:paraId="57ADA80E" w14:textId="77777777" w:rsidR="000F6DF8" w:rsidRPr="00682228" w:rsidRDefault="000F6DF8" w:rsidP="000F6DF8">
      <w:pPr>
        <w:pStyle w:val="ListParagraph"/>
        <w:ind w:left="760"/>
      </w:pPr>
    </w:p>
    <w:p w14:paraId="3C151573" w14:textId="77777777" w:rsidR="000F6DF8" w:rsidRPr="00196D4F" w:rsidRDefault="000F6DF8" w:rsidP="000F6DF8">
      <w:pPr>
        <w:spacing w:line="360" w:lineRule="auto"/>
        <w:jc w:val="both"/>
        <w:rPr>
          <w:rFonts w:ascii="Arial" w:eastAsiaTheme="minorEastAsia" w:hAnsi="Arial" w:cs="Arial"/>
        </w:rPr>
      </w:pPr>
      <w:r w:rsidRPr="00196D4F">
        <w:rPr>
          <w:rFonts w:ascii="Arial" w:eastAsiaTheme="minorEastAsia" w:hAnsi="Arial" w:cs="Arial"/>
        </w:rPr>
        <w:t xml:space="preserve">The South African Legislature Sector took a decision to develop the oversight model to set standards and norms to guide oversight processes in the country. This was aimed at enhancing effectiveness of Legislatures in discharging their responsibilities aimed at improving service delivery. </w:t>
      </w:r>
    </w:p>
    <w:p w14:paraId="0FE4B9FE" w14:textId="77777777" w:rsidR="000F6DF8" w:rsidRDefault="000F6DF8" w:rsidP="004D3329">
      <w:pPr>
        <w:pStyle w:val="Heading2"/>
        <w:numPr>
          <w:ilvl w:val="1"/>
          <w:numId w:val="12"/>
        </w:numPr>
        <w:rPr>
          <w:rFonts w:ascii="Arial" w:eastAsiaTheme="minorEastAsia" w:hAnsi="Arial" w:cs="Arial"/>
          <w:b/>
          <w:bCs/>
          <w:color w:val="auto"/>
          <w:sz w:val="24"/>
          <w:szCs w:val="24"/>
        </w:rPr>
      </w:pPr>
      <w:bookmarkStart w:id="14" w:name="_Toc146084283"/>
      <w:r w:rsidRPr="00763CEB">
        <w:rPr>
          <w:rFonts w:ascii="Arial" w:eastAsiaTheme="minorEastAsia" w:hAnsi="Arial" w:cs="Arial"/>
          <w:b/>
          <w:bCs/>
          <w:color w:val="auto"/>
          <w:sz w:val="24"/>
          <w:szCs w:val="24"/>
        </w:rPr>
        <w:t>The Six Pillars of an Activist and Transformative Legislature</w:t>
      </w:r>
      <w:bookmarkEnd w:id="14"/>
    </w:p>
    <w:p w14:paraId="54BFF740" w14:textId="77777777" w:rsidR="000F6DF8" w:rsidRPr="00682228" w:rsidRDefault="000F6DF8" w:rsidP="000F6DF8">
      <w:pPr>
        <w:pStyle w:val="ListParagraph"/>
        <w:ind w:left="760"/>
      </w:pPr>
    </w:p>
    <w:p w14:paraId="637D3202" w14:textId="77777777" w:rsidR="000F6DF8" w:rsidRPr="00196D4F" w:rsidRDefault="000F6DF8" w:rsidP="000F6DF8">
      <w:pPr>
        <w:spacing w:line="360" w:lineRule="auto"/>
        <w:jc w:val="both"/>
        <w:rPr>
          <w:rFonts w:ascii="Arial" w:eastAsiaTheme="minorEastAsia" w:hAnsi="Arial" w:cs="Arial"/>
          <w:b/>
        </w:rPr>
      </w:pPr>
      <w:r>
        <w:rPr>
          <w:rFonts w:ascii="Arial" w:eastAsiaTheme="minorEastAsia" w:hAnsi="Arial" w:cs="Arial"/>
        </w:rPr>
        <w:t>The 2019-2025</w:t>
      </w:r>
      <w:r w:rsidRPr="00196D4F">
        <w:rPr>
          <w:rFonts w:ascii="Arial" w:eastAsiaTheme="minorEastAsia" w:hAnsi="Arial" w:cs="Arial"/>
        </w:rPr>
        <w:t xml:space="preserve"> political term and beyond has been isolated for the radical transformation, modernisation and re-industrialising the Gauteng as a strategic roadmap towards building the Gauteng City Region that will achieve higher levels of growth, prosperity and social progress. It is within this context that the GPL identified six (6) pillars to implement as a way of repositioning itself to strengthen its oversight mechanisms. </w:t>
      </w:r>
    </w:p>
    <w:p w14:paraId="54F455CF" w14:textId="77777777" w:rsidR="000F6DF8" w:rsidRPr="00196D4F" w:rsidRDefault="000F6DF8" w:rsidP="000F6DF8">
      <w:pPr>
        <w:spacing w:line="360" w:lineRule="auto"/>
        <w:jc w:val="both"/>
        <w:rPr>
          <w:rFonts w:ascii="Arial" w:eastAsiaTheme="minorEastAsia" w:hAnsi="Arial" w:cs="Arial"/>
        </w:rPr>
      </w:pPr>
      <w:r w:rsidRPr="00196D4F">
        <w:rPr>
          <w:rFonts w:ascii="Arial" w:eastAsiaTheme="minorEastAsia" w:hAnsi="Arial" w:cs="Arial"/>
        </w:rPr>
        <w:t xml:space="preserve">Central to the programmes of the Legislature, focus will be on: </w:t>
      </w:r>
    </w:p>
    <w:p w14:paraId="3C8CD34C" w14:textId="77777777" w:rsidR="000F6DF8" w:rsidRPr="00196D4F" w:rsidRDefault="000F6DF8" w:rsidP="000F6DF8">
      <w:pPr>
        <w:autoSpaceDE w:val="0"/>
        <w:autoSpaceDN w:val="0"/>
        <w:adjustRightInd w:val="0"/>
        <w:spacing w:line="360" w:lineRule="auto"/>
        <w:jc w:val="both"/>
        <w:rPr>
          <w:rFonts w:ascii="Arial" w:hAnsi="Arial" w:cs="Arial"/>
          <w:b/>
          <w:bCs/>
        </w:rPr>
      </w:pPr>
      <w:r w:rsidRPr="00196D4F">
        <w:rPr>
          <w:rFonts w:ascii="Arial" w:hAnsi="Arial" w:cs="Arial"/>
          <w:b/>
          <w:bCs/>
        </w:rPr>
        <w:t>Pillar 1: Transformation of the Legislature’s governance processes</w:t>
      </w:r>
    </w:p>
    <w:p w14:paraId="0192D012" w14:textId="77777777" w:rsidR="000F6DF8" w:rsidRPr="00196D4F" w:rsidRDefault="000F6DF8" w:rsidP="000F6DF8">
      <w:pPr>
        <w:autoSpaceDE w:val="0"/>
        <w:autoSpaceDN w:val="0"/>
        <w:adjustRightInd w:val="0"/>
        <w:spacing w:line="360" w:lineRule="auto"/>
        <w:jc w:val="both"/>
        <w:rPr>
          <w:rFonts w:ascii="Arial" w:hAnsi="Arial" w:cs="Arial"/>
        </w:rPr>
      </w:pPr>
      <w:r w:rsidRPr="00196D4F">
        <w:rPr>
          <w:rFonts w:ascii="Arial" w:hAnsi="Arial" w:cs="Arial"/>
        </w:rPr>
        <w:t>The GPL must enhance public confidence in the governance and leadership of the legislature by being the most accountable and responsible legislature. The GPL must also improve the effectiveness of the oversight function for enhanced service delivery.</w:t>
      </w:r>
    </w:p>
    <w:p w14:paraId="7845049F" w14:textId="77777777" w:rsidR="000F6DF8" w:rsidRPr="00196D4F" w:rsidRDefault="000F6DF8" w:rsidP="000F6DF8">
      <w:pPr>
        <w:autoSpaceDE w:val="0"/>
        <w:autoSpaceDN w:val="0"/>
        <w:adjustRightInd w:val="0"/>
        <w:spacing w:line="360" w:lineRule="auto"/>
        <w:jc w:val="both"/>
        <w:rPr>
          <w:rFonts w:ascii="Arial" w:hAnsi="Arial" w:cs="Arial"/>
          <w:b/>
          <w:bCs/>
        </w:rPr>
      </w:pPr>
      <w:r w:rsidRPr="00196D4F">
        <w:rPr>
          <w:rFonts w:ascii="Arial" w:hAnsi="Arial" w:cs="Arial"/>
          <w:b/>
          <w:bCs/>
        </w:rPr>
        <w:t>Pillar 2: Modernisation of the legislature business of oversight, public participation and law-making practices</w:t>
      </w:r>
    </w:p>
    <w:p w14:paraId="0ACF4FE9" w14:textId="77777777" w:rsidR="000F6DF8" w:rsidRPr="00196D4F" w:rsidRDefault="000F6DF8" w:rsidP="000F6DF8">
      <w:pPr>
        <w:autoSpaceDE w:val="0"/>
        <w:autoSpaceDN w:val="0"/>
        <w:adjustRightInd w:val="0"/>
        <w:spacing w:line="360" w:lineRule="auto"/>
        <w:jc w:val="both"/>
        <w:rPr>
          <w:rFonts w:ascii="Arial" w:hAnsi="Arial" w:cs="Arial"/>
        </w:rPr>
      </w:pPr>
      <w:r w:rsidRPr="00196D4F">
        <w:rPr>
          <w:rFonts w:ascii="Arial" w:hAnsi="Arial" w:cs="Arial"/>
        </w:rPr>
        <w:t>The GPL must take advantage of the technologies at its disposal to modernise the legislature business to an e-legislature environment.</w:t>
      </w:r>
    </w:p>
    <w:p w14:paraId="4E395E4F" w14:textId="77777777" w:rsidR="000F6DF8" w:rsidRPr="00196D4F" w:rsidRDefault="000F6DF8" w:rsidP="000F6DF8">
      <w:pPr>
        <w:autoSpaceDE w:val="0"/>
        <w:autoSpaceDN w:val="0"/>
        <w:adjustRightInd w:val="0"/>
        <w:spacing w:line="360" w:lineRule="auto"/>
        <w:jc w:val="both"/>
        <w:rPr>
          <w:rFonts w:ascii="Arial" w:hAnsi="Arial" w:cs="Arial"/>
          <w:b/>
          <w:bCs/>
        </w:rPr>
      </w:pPr>
      <w:r w:rsidRPr="00196D4F">
        <w:rPr>
          <w:rFonts w:ascii="Arial" w:hAnsi="Arial" w:cs="Arial"/>
          <w:b/>
          <w:bCs/>
        </w:rPr>
        <w:t>Pillar 3: Re-engineered public participation beyond slogans</w:t>
      </w:r>
    </w:p>
    <w:p w14:paraId="09E3CD2D" w14:textId="77777777" w:rsidR="000F6DF8" w:rsidRPr="00196D4F" w:rsidRDefault="000F6DF8" w:rsidP="000F6DF8">
      <w:pPr>
        <w:autoSpaceDE w:val="0"/>
        <w:autoSpaceDN w:val="0"/>
        <w:adjustRightInd w:val="0"/>
        <w:spacing w:line="360" w:lineRule="auto"/>
        <w:jc w:val="both"/>
        <w:rPr>
          <w:rFonts w:ascii="Arial" w:hAnsi="Arial" w:cs="Arial"/>
        </w:rPr>
      </w:pPr>
      <w:r w:rsidRPr="00196D4F">
        <w:rPr>
          <w:rFonts w:ascii="Arial" w:hAnsi="Arial" w:cs="Arial"/>
        </w:rPr>
        <w:t>The GPL’s public participation processes must be more meaningful and should increase the confidence of the people in their public representatives. The public participation processes must assist the people of Gauteng in using democratic governance processes to improve their lives, resolve their problems, and hold their elected public representatives accountable.</w:t>
      </w:r>
    </w:p>
    <w:p w14:paraId="0342EDF9" w14:textId="77777777" w:rsidR="000F6DF8" w:rsidRPr="00196D4F" w:rsidRDefault="000F6DF8" w:rsidP="000F6DF8">
      <w:pPr>
        <w:autoSpaceDE w:val="0"/>
        <w:autoSpaceDN w:val="0"/>
        <w:adjustRightInd w:val="0"/>
        <w:spacing w:line="360" w:lineRule="auto"/>
        <w:jc w:val="both"/>
        <w:rPr>
          <w:rFonts w:ascii="Arial" w:hAnsi="Arial" w:cs="Arial"/>
          <w:b/>
          <w:bCs/>
        </w:rPr>
      </w:pPr>
      <w:r w:rsidRPr="00196D4F">
        <w:rPr>
          <w:rFonts w:ascii="Arial" w:hAnsi="Arial" w:cs="Arial"/>
          <w:b/>
          <w:bCs/>
        </w:rPr>
        <w:t>Pillar 4: Transformation of the legislative sector in the context of integrated global city region and connected government</w:t>
      </w:r>
    </w:p>
    <w:p w14:paraId="39B02CE5" w14:textId="77777777" w:rsidR="000F6DF8" w:rsidRPr="00196D4F" w:rsidRDefault="000F6DF8" w:rsidP="000F6DF8">
      <w:pPr>
        <w:autoSpaceDE w:val="0"/>
        <w:autoSpaceDN w:val="0"/>
        <w:adjustRightInd w:val="0"/>
        <w:spacing w:line="360" w:lineRule="auto"/>
        <w:jc w:val="both"/>
        <w:rPr>
          <w:rFonts w:ascii="Arial" w:hAnsi="Arial" w:cs="Arial"/>
        </w:rPr>
      </w:pPr>
      <w:r w:rsidRPr="00196D4F">
        <w:rPr>
          <w:rFonts w:ascii="Arial" w:hAnsi="Arial" w:cs="Arial"/>
        </w:rPr>
        <w:t>The GPL must work closely with municipal councils in Gauteng in a manner that promotes one provincial government serving the same community and thereby achieving a connected legislative arm of government in the province that is able to plan jointly, and subsequently achieve province-wide government accountability, transparency and public involvement. The GPL’s public participation, oversight and law-making processes must be the same throughout the province and legislative business processes must connect with the legislative processes of the municipalities in Gauteng.</w:t>
      </w:r>
    </w:p>
    <w:p w14:paraId="36B712F4" w14:textId="77777777" w:rsidR="000F6DF8" w:rsidRPr="00196D4F" w:rsidRDefault="000F6DF8" w:rsidP="000F6DF8">
      <w:pPr>
        <w:autoSpaceDE w:val="0"/>
        <w:autoSpaceDN w:val="0"/>
        <w:adjustRightInd w:val="0"/>
        <w:spacing w:line="360" w:lineRule="auto"/>
        <w:jc w:val="both"/>
        <w:rPr>
          <w:rFonts w:ascii="Arial" w:hAnsi="Arial" w:cs="Arial"/>
          <w:b/>
          <w:bCs/>
        </w:rPr>
      </w:pPr>
      <w:r w:rsidRPr="00196D4F">
        <w:rPr>
          <w:rFonts w:ascii="Arial" w:hAnsi="Arial" w:cs="Arial"/>
          <w:b/>
          <w:bCs/>
        </w:rPr>
        <w:t>Pillar 5: Transformation of the legislature’s law-making processes</w:t>
      </w:r>
    </w:p>
    <w:p w14:paraId="285EE93E" w14:textId="77777777" w:rsidR="000F6DF8" w:rsidRPr="00196D4F" w:rsidRDefault="000F6DF8" w:rsidP="000F6DF8">
      <w:pPr>
        <w:autoSpaceDE w:val="0"/>
        <w:autoSpaceDN w:val="0"/>
        <w:adjustRightInd w:val="0"/>
        <w:spacing w:line="360" w:lineRule="auto"/>
        <w:jc w:val="both"/>
        <w:rPr>
          <w:rFonts w:ascii="Arial" w:hAnsi="Arial" w:cs="Arial"/>
        </w:rPr>
      </w:pPr>
      <w:r w:rsidRPr="00196D4F">
        <w:rPr>
          <w:rFonts w:ascii="Arial" w:hAnsi="Arial" w:cs="Arial"/>
        </w:rPr>
        <w:t>The GPL must do more to achieve a transformative legislative framework that must propel the democratic developmental state to achieve its objectives. This includes actively seeking appropriate legal instruments to facilitate the accelerated implementation of the programmes of the government. Oversight and public participation should also be used to identify</w:t>
      </w:r>
    </w:p>
    <w:p w14:paraId="5C26B7C1" w14:textId="77777777" w:rsidR="000F6DF8" w:rsidRPr="00196D4F" w:rsidRDefault="000F6DF8" w:rsidP="000F6DF8">
      <w:pPr>
        <w:autoSpaceDE w:val="0"/>
        <w:autoSpaceDN w:val="0"/>
        <w:adjustRightInd w:val="0"/>
        <w:spacing w:line="360" w:lineRule="auto"/>
        <w:rPr>
          <w:rFonts w:ascii="Arial" w:hAnsi="Arial" w:cs="Arial"/>
        </w:rPr>
      </w:pPr>
      <w:r w:rsidRPr="00196D4F">
        <w:rPr>
          <w:rFonts w:ascii="Arial" w:hAnsi="Arial" w:cs="Arial"/>
        </w:rPr>
        <w:t>gaps in existing laws and policies.</w:t>
      </w:r>
    </w:p>
    <w:p w14:paraId="546444D9" w14:textId="77777777" w:rsidR="000F6DF8" w:rsidRPr="00196D4F" w:rsidRDefault="000F6DF8" w:rsidP="000F6DF8">
      <w:pPr>
        <w:autoSpaceDE w:val="0"/>
        <w:autoSpaceDN w:val="0"/>
        <w:adjustRightInd w:val="0"/>
        <w:spacing w:line="360" w:lineRule="auto"/>
        <w:rPr>
          <w:rFonts w:ascii="Arial" w:hAnsi="Arial" w:cs="Arial"/>
          <w:b/>
          <w:bCs/>
        </w:rPr>
      </w:pPr>
      <w:r w:rsidRPr="00196D4F">
        <w:rPr>
          <w:rFonts w:ascii="Arial" w:hAnsi="Arial" w:cs="Arial"/>
          <w:b/>
          <w:bCs/>
        </w:rPr>
        <w:t>Pillar 6: Consolidating the Legislature’s oversight practices</w:t>
      </w:r>
    </w:p>
    <w:p w14:paraId="25B21B97" w14:textId="77777777" w:rsidR="000F6DF8" w:rsidRPr="00196D4F" w:rsidRDefault="000F6DF8" w:rsidP="000F6DF8">
      <w:pPr>
        <w:autoSpaceDE w:val="0"/>
        <w:autoSpaceDN w:val="0"/>
        <w:adjustRightInd w:val="0"/>
        <w:spacing w:line="360" w:lineRule="auto"/>
        <w:jc w:val="both"/>
        <w:rPr>
          <w:rFonts w:ascii="Arial" w:eastAsiaTheme="minorEastAsia" w:hAnsi="Arial" w:cs="Arial"/>
        </w:rPr>
      </w:pPr>
      <w:r w:rsidRPr="00196D4F">
        <w:rPr>
          <w:rFonts w:ascii="Arial" w:hAnsi="Arial" w:cs="Arial"/>
        </w:rPr>
        <w:t>Oversight visits must involve the people affected by the services and the GPL must intensify the use of field-based oversight approaches and explore avenues through which constituency issues could be raised and processed in the House for the legislature to reinforce its representational and oversight role.</w:t>
      </w:r>
    </w:p>
    <w:p w14:paraId="3CD932C4" w14:textId="77777777" w:rsidR="000F6DF8" w:rsidRPr="00196D4F" w:rsidRDefault="000F6DF8" w:rsidP="000F6DF8">
      <w:pPr>
        <w:spacing w:line="360" w:lineRule="auto"/>
        <w:jc w:val="both"/>
        <w:rPr>
          <w:rFonts w:ascii="Arial" w:eastAsia="Calibri" w:hAnsi="Arial" w:cs="Arial"/>
        </w:rPr>
      </w:pPr>
      <w:r w:rsidRPr="00196D4F">
        <w:rPr>
          <w:rFonts w:ascii="Arial" w:eastAsia="Calibri" w:hAnsi="Arial" w:cs="Arial"/>
        </w:rPr>
        <w:t xml:space="preserve">The above-mentioned priorities are consistent with the role of the legislature of mobilising communities around public participation, playing effective oversight to enhance governments’ ability to deliver services and passing laws that are responsive to the needs of the people of Gauteng. </w:t>
      </w:r>
    </w:p>
    <w:p w14:paraId="737D6AE8" w14:textId="77777777" w:rsidR="000F6DF8" w:rsidRPr="00763CEB" w:rsidRDefault="000F6DF8" w:rsidP="000F6DF8">
      <w:pPr>
        <w:pStyle w:val="Heading2"/>
        <w:rPr>
          <w:rFonts w:ascii="Arial" w:eastAsia="Times New Roman" w:hAnsi="Arial" w:cs="Arial"/>
          <w:b/>
          <w:bCs/>
          <w:sz w:val="24"/>
          <w:szCs w:val="24"/>
          <w:lang w:val="en-GB" w:eastAsia="ja-JP"/>
        </w:rPr>
      </w:pPr>
      <w:bookmarkStart w:id="15" w:name="_Toc146084284"/>
      <w:r w:rsidRPr="00763CEB">
        <w:rPr>
          <w:rFonts w:ascii="Arial" w:eastAsia="Times New Roman" w:hAnsi="Arial" w:cs="Arial"/>
          <w:b/>
          <w:bCs/>
          <w:color w:val="auto"/>
          <w:sz w:val="24"/>
          <w:szCs w:val="24"/>
          <w:lang w:val="en-GB" w:eastAsia="ja-JP"/>
        </w:rPr>
        <w:t>3.5 Sustainable Development Goals</w:t>
      </w:r>
      <w:bookmarkEnd w:id="15"/>
    </w:p>
    <w:p w14:paraId="2D7B4117" w14:textId="77777777" w:rsidR="000F6DF8" w:rsidRDefault="000F6DF8" w:rsidP="000F6DF8">
      <w:pPr>
        <w:autoSpaceDE w:val="0"/>
        <w:autoSpaceDN w:val="0"/>
        <w:spacing w:after="120" w:line="360" w:lineRule="auto"/>
        <w:jc w:val="both"/>
        <w:rPr>
          <w:rFonts w:ascii="Arial" w:eastAsia="Times New Roman" w:hAnsi="Arial" w:cs="Arial"/>
          <w:lang w:val="en-GB" w:eastAsia="ja-JP"/>
        </w:rPr>
      </w:pPr>
      <w:r w:rsidRPr="00196D4F">
        <w:rPr>
          <w:rFonts w:ascii="Arial" w:eastAsia="Times New Roman" w:hAnsi="Arial" w:cs="Arial"/>
          <w:lang w:val="en-GB" w:eastAsia="ja-JP"/>
        </w:rPr>
        <w:t>Sustainable Development Goals (Agenda 2030) are aimed to end poverty, build peaceful societies and promote prosperity while also protecting the environment for current and future generations. These goals were adopted as an integral part of the “Transforming our world: the 2030 Agenda for Sustainable Development” by all Member States of the United Nations in 2015</w:t>
      </w:r>
      <w:r w:rsidRPr="00196D4F">
        <w:rPr>
          <w:rFonts w:ascii="Arial" w:eastAsia="Times New Roman" w:hAnsi="Arial" w:cs="Arial"/>
          <w:vertAlign w:val="superscript"/>
          <w:lang w:val="en-GB" w:eastAsia="ja-JP"/>
        </w:rPr>
        <w:footnoteReference w:id="7"/>
      </w:r>
      <w:r w:rsidRPr="00196D4F">
        <w:rPr>
          <w:rFonts w:ascii="Arial" w:eastAsia="Times New Roman" w:hAnsi="Arial" w:cs="Arial"/>
          <w:lang w:val="en-GB" w:eastAsia="ja-JP"/>
        </w:rPr>
        <w:t>. If these goals are to be achieved in any country, the country’s parliament has a role to play a significant and informed part.</w:t>
      </w:r>
    </w:p>
    <w:p w14:paraId="6C7CDE1A" w14:textId="77777777" w:rsidR="000F6DF8" w:rsidRPr="00196D4F" w:rsidRDefault="000F6DF8" w:rsidP="000F6DF8">
      <w:pPr>
        <w:autoSpaceDE w:val="0"/>
        <w:autoSpaceDN w:val="0"/>
        <w:spacing w:after="120" w:line="360" w:lineRule="auto"/>
        <w:jc w:val="both"/>
        <w:rPr>
          <w:rFonts w:ascii="Arial" w:eastAsia="Times New Roman" w:hAnsi="Arial" w:cs="Arial"/>
          <w:lang w:val="en-GB" w:eastAsia="ja-JP"/>
        </w:rPr>
      </w:pPr>
      <w:r w:rsidRPr="00196D4F">
        <w:rPr>
          <w:rFonts w:ascii="Arial" w:eastAsia="Times New Roman" w:hAnsi="Arial" w:cs="Arial"/>
          <w:lang w:val="en-GB" w:eastAsia="ja-JP"/>
        </w:rPr>
        <w:t xml:space="preserve"> The Gauteng Provincial Legislature has a constitutional responsibility to support and monitor the implementation of the SDGs. This will be achieved through ensuring that the legislation passed is responsive to the needs of the people, the budgets passed are in line with the SDG and there is adherence to accountability. Monitoring the progress towards the achievement of the SDGs, as well as tracking where and how these funds are spent to curb corruption and assess the impact of these initiatives on the lives of the people of the province. Recognising the valuable contribution and centrality of public participation as an interface between the people and elected representatives, the GPL is in the process of reengineering its PP mechanism for an inclusive governance system. The resolution tracking as an instrument of monitoring implementation of House resolutions to the Executive and implementing agencies remains essential in ensuring the attainment of SDGs. </w:t>
      </w:r>
    </w:p>
    <w:p w14:paraId="0D6187FB" w14:textId="77777777" w:rsidR="000F6DF8" w:rsidRPr="00763CEB" w:rsidRDefault="000F6DF8" w:rsidP="000F6DF8">
      <w:pPr>
        <w:pStyle w:val="Heading2"/>
        <w:rPr>
          <w:rFonts w:ascii="Arial" w:eastAsia="Times New Roman" w:hAnsi="Arial" w:cs="Arial"/>
          <w:b/>
          <w:bCs/>
          <w:sz w:val="24"/>
          <w:szCs w:val="24"/>
          <w:lang w:val="en-GB" w:eastAsia="ja-JP"/>
        </w:rPr>
      </w:pPr>
      <w:bookmarkStart w:id="16" w:name="_Toc146084285"/>
      <w:r w:rsidRPr="00763CEB">
        <w:rPr>
          <w:rFonts w:ascii="Arial" w:eastAsia="Times New Roman" w:hAnsi="Arial" w:cs="Arial"/>
          <w:b/>
          <w:bCs/>
          <w:color w:val="auto"/>
          <w:sz w:val="24"/>
          <w:szCs w:val="24"/>
          <w:lang w:val="en-GB" w:eastAsia="ja-JP"/>
        </w:rPr>
        <w:t>3.6 Agenda 2063</w:t>
      </w:r>
      <w:bookmarkEnd w:id="16"/>
    </w:p>
    <w:p w14:paraId="71AA5776" w14:textId="77777777" w:rsidR="000F6DF8" w:rsidRPr="00196D4F" w:rsidRDefault="000F6DF8" w:rsidP="000F6DF8">
      <w:pPr>
        <w:autoSpaceDE w:val="0"/>
        <w:autoSpaceDN w:val="0"/>
        <w:spacing w:after="120" w:line="360" w:lineRule="auto"/>
        <w:jc w:val="both"/>
        <w:rPr>
          <w:rFonts w:ascii="Arial" w:eastAsiaTheme="minorEastAsia" w:hAnsi="Arial" w:cs="Arial"/>
          <w:color w:val="000000"/>
          <w:shd w:val="clear" w:color="auto" w:fill="FFFFFF"/>
        </w:rPr>
      </w:pPr>
      <w:r w:rsidRPr="00196D4F">
        <w:rPr>
          <w:rFonts w:ascii="Arial" w:eastAsiaTheme="minorEastAsia" w:hAnsi="Arial" w:cs="Arial"/>
          <w:color w:val="000000"/>
          <w:shd w:val="clear" w:color="auto" w:fill="FFFFFF"/>
        </w:rPr>
        <w:t xml:space="preserve">The Agenda 2063 is a strategic framework for the socio-economic transformation of the continent over the next 50 years. It is built on, and seeks to accelerate the implementation of past and existing continental initiatives for growth and sustainable development. As indicated earlier, Parliaments have a critical role to play in driving and fostering people centred development that is reflective and responsive to the needs of the people. Through its cooperative governance function, the GPL continues to participate at the Commonwealth Parliamentary Association. This association exists to develop, promote and support parliaments and provincial legislatures in areas of good governance. They learn from each other in a wide range of parliamentary strengthening and public outreach mechanisms. These are valuable in ensuring accountability and participatory governance system. </w:t>
      </w:r>
    </w:p>
    <w:p w14:paraId="2EEA3B4F" w14:textId="77777777" w:rsidR="000F6DF8" w:rsidRPr="00763CEB" w:rsidRDefault="000F6DF8" w:rsidP="000F6DF8">
      <w:pPr>
        <w:pStyle w:val="Heading2"/>
        <w:rPr>
          <w:rFonts w:ascii="Arial" w:eastAsia="Times New Roman" w:hAnsi="Arial" w:cs="Arial"/>
          <w:b/>
          <w:bCs/>
          <w:sz w:val="24"/>
          <w:szCs w:val="24"/>
          <w:lang w:val="en-GB" w:eastAsia="ja-JP"/>
        </w:rPr>
      </w:pPr>
      <w:bookmarkStart w:id="17" w:name="_Toc146084286"/>
      <w:r w:rsidRPr="00763CEB">
        <w:rPr>
          <w:rFonts w:ascii="Arial" w:eastAsia="Times New Roman" w:hAnsi="Arial" w:cs="Arial"/>
          <w:b/>
          <w:bCs/>
          <w:color w:val="auto"/>
          <w:sz w:val="24"/>
          <w:szCs w:val="24"/>
          <w:lang w:val="en-GB" w:eastAsia="ja-JP"/>
        </w:rPr>
        <w:t>3.7 National Development Plan</w:t>
      </w:r>
      <w:bookmarkEnd w:id="17"/>
    </w:p>
    <w:p w14:paraId="6AF21FD6" w14:textId="77777777" w:rsidR="000F6DF8" w:rsidRDefault="000F6DF8" w:rsidP="000F6DF8">
      <w:pPr>
        <w:spacing w:line="360" w:lineRule="auto"/>
        <w:jc w:val="both"/>
        <w:rPr>
          <w:rFonts w:ascii="Arial" w:eastAsiaTheme="minorEastAsia" w:hAnsi="Arial" w:cs="Arial"/>
        </w:rPr>
      </w:pPr>
      <w:r w:rsidRPr="00196D4F">
        <w:rPr>
          <w:rFonts w:ascii="Arial" w:eastAsia="Times New Roman" w:hAnsi="Arial" w:cs="Arial"/>
          <w:lang w:val="en-GB" w:eastAsia="ja-JP"/>
        </w:rPr>
        <w:t xml:space="preserve">The National Development Plan is a long-term perspective that aims to eliminate poverty and reduce inequality by 2030. These can be achieved through promoting partnership throughout society. The GPL participates in both the National and Gauteng Speakers forums. </w:t>
      </w:r>
      <w:r w:rsidRPr="00196D4F">
        <w:rPr>
          <w:rFonts w:ascii="Arial" w:eastAsiaTheme="minorEastAsia" w:hAnsi="Arial" w:cs="Arial"/>
        </w:rPr>
        <w:t xml:space="preserve">This is aimed at enhancing effectiveness of this institution in discharging its responsibilities aimed at improving service delivery. </w:t>
      </w:r>
    </w:p>
    <w:p w14:paraId="7A4BFC28" w14:textId="77777777" w:rsidR="000F6DF8" w:rsidRDefault="000F6DF8" w:rsidP="000F6DF8">
      <w:pPr>
        <w:spacing w:line="360" w:lineRule="auto"/>
        <w:jc w:val="both"/>
        <w:rPr>
          <w:rFonts w:ascii="Arial" w:eastAsiaTheme="minorEastAsia" w:hAnsi="Arial" w:cs="Arial"/>
        </w:rPr>
      </w:pPr>
    </w:p>
    <w:p w14:paraId="634D5914" w14:textId="77777777" w:rsidR="000F6DF8" w:rsidRPr="00196D4F" w:rsidRDefault="000F6DF8" w:rsidP="000F6DF8">
      <w:pPr>
        <w:spacing w:line="360" w:lineRule="auto"/>
        <w:jc w:val="both"/>
        <w:rPr>
          <w:rFonts w:ascii="Arial" w:eastAsiaTheme="minorEastAsia" w:hAnsi="Arial" w:cs="Arial"/>
        </w:rPr>
      </w:pPr>
    </w:p>
    <w:p w14:paraId="65BC4249" w14:textId="77777777" w:rsidR="000F6DF8" w:rsidRPr="00196D4F" w:rsidRDefault="000F6DF8" w:rsidP="004D3329">
      <w:pPr>
        <w:pStyle w:val="Heading1"/>
        <w:numPr>
          <w:ilvl w:val="0"/>
          <w:numId w:val="12"/>
        </w:numPr>
        <w:rPr>
          <w:rFonts w:eastAsia="Times New Roman"/>
          <w:lang w:eastAsia="ja-JP"/>
        </w:rPr>
      </w:pPr>
      <w:bookmarkStart w:id="18" w:name="_Toc146084287"/>
      <w:r>
        <w:rPr>
          <w:rFonts w:ascii="Arial" w:eastAsia="Times New Roman" w:hAnsi="Arial" w:cs="Arial"/>
          <w:b/>
          <w:bCs/>
          <w:color w:val="auto"/>
          <w:sz w:val="24"/>
          <w:szCs w:val="24"/>
          <w:lang w:val="en-GB" w:eastAsia="ja-JP"/>
        </w:rPr>
        <w:t>SECTION</w:t>
      </w:r>
      <w:r w:rsidRPr="00763CEB">
        <w:rPr>
          <w:rFonts w:ascii="Arial" w:eastAsia="Times New Roman" w:hAnsi="Arial" w:cs="Arial"/>
          <w:b/>
          <w:bCs/>
          <w:color w:val="auto"/>
          <w:sz w:val="24"/>
          <w:szCs w:val="24"/>
          <w:lang w:val="en-GB" w:eastAsia="ja-JP"/>
        </w:rPr>
        <w:t>: MACRO ANALYSIS</w:t>
      </w:r>
      <w:r w:rsidRPr="00196D4F">
        <w:rPr>
          <w:rFonts w:eastAsia="Times New Roman"/>
          <w:lang w:val="en-GB" w:eastAsia="ja-JP"/>
        </w:rPr>
        <w:t>.</w:t>
      </w:r>
      <w:bookmarkEnd w:id="18"/>
    </w:p>
    <w:p w14:paraId="0247D9F1" w14:textId="77777777" w:rsidR="000F6DF8" w:rsidRPr="00763CEB" w:rsidRDefault="000F6DF8" w:rsidP="000F6DF8">
      <w:pPr>
        <w:spacing w:after="160" w:line="259" w:lineRule="auto"/>
        <w:rPr>
          <w:rFonts w:ascii="Arial" w:hAnsi="Arial" w:cs="Arial"/>
          <w:b/>
          <w:bCs/>
        </w:rPr>
      </w:pPr>
      <w:bookmarkStart w:id="19" w:name="_Toc527031849"/>
      <w:r w:rsidRPr="00763CEB">
        <w:rPr>
          <w:rFonts w:ascii="Arial" w:hAnsi="Arial" w:cs="Arial"/>
          <w:b/>
          <w:bCs/>
        </w:rPr>
        <w:t>PROGRAMME INFORMATION</w:t>
      </w:r>
      <w:bookmarkEnd w:id="19"/>
    </w:p>
    <w:p w14:paraId="1980A9DA" w14:textId="77777777" w:rsidR="000F6DF8" w:rsidRPr="00196D4F" w:rsidRDefault="000F6DF8" w:rsidP="000F6DF8">
      <w:pPr>
        <w:spacing w:line="360" w:lineRule="auto"/>
        <w:jc w:val="both"/>
        <w:rPr>
          <w:rFonts w:ascii="Arial" w:eastAsiaTheme="minorEastAsia" w:hAnsi="Arial" w:cs="Arial"/>
          <w:bCs/>
        </w:rPr>
      </w:pPr>
      <w:r w:rsidRPr="00196D4F">
        <w:rPr>
          <w:rFonts w:ascii="Arial" w:eastAsiaTheme="minorEastAsia" w:hAnsi="Arial" w:cs="Arial"/>
          <w:bCs/>
        </w:rPr>
        <w:t xml:space="preserve">This section focuses on the relationship between planned targets as articulated in the APP and the Annual Report. </w:t>
      </w:r>
      <w:r>
        <w:rPr>
          <w:rFonts w:ascii="Arial" w:eastAsiaTheme="minorEastAsia" w:hAnsi="Arial" w:cs="Arial"/>
          <w:bCs/>
        </w:rPr>
        <w:t xml:space="preserve"> </w:t>
      </w:r>
      <w:r w:rsidRPr="00196D4F">
        <w:rPr>
          <w:rFonts w:ascii="Arial" w:eastAsiaTheme="minorEastAsia" w:hAnsi="Arial" w:cs="Arial"/>
          <w:bCs/>
        </w:rPr>
        <w:t>Information on the Department performance per Programme for the period under review</w:t>
      </w:r>
      <w:r>
        <w:rPr>
          <w:rFonts w:ascii="Arial" w:eastAsiaTheme="minorEastAsia" w:hAnsi="Arial" w:cs="Arial"/>
          <w:bCs/>
        </w:rPr>
        <w:t>:</w:t>
      </w:r>
    </w:p>
    <w:p w14:paraId="7800C59E" w14:textId="77777777" w:rsidR="000F6DF8" w:rsidRPr="00196D4F" w:rsidRDefault="000F6DF8" w:rsidP="000F6DF8">
      <w:pPr>
        <w:spacing w:line="360" w:lineRule="auto"/>
        <w:jc w:val="both"/>
        <w:rPr>
          <w:rFonts w:ascii="Arial" w:eastAsiaTheme="minorEastAsia" w:hAnsi="Arial" w:cs="Arial"/>
          <w:b/>
          <w:bCs/>
        </w:rPr>
      </w:pPr>
      <w:r w:rsidRPr="00196D4F">
        <w:rPr>
          <w:rFonts w:ascii="Arial" w:eastAsiaTheme="minorEastAsia" w:hAnsi="Arial" w:cs="Arial"/>
          <w:bCs/>
        </w:rPr>
        <w:t xml:space="preserve">During the </w:t>
      </w:r>
      <w:r w:rsidRPr="008420FA">
        <w:rPr>
          <w:rFonts w:ascii="Arial" w:eastAsiaTheme="minorEastAsia" w:hAnsi="Arial" w:cs="Arial"/>
          <w:bCs/>
        </w:rPr>
        <w:t>202</w:t>
      </w:r>
      <w:r>
        <w:rPr>
          <w:rFonts w:ascii="Arial" w:eastAsiaTheme="minorEastAsia" w:hAnsi="Arial" w:cs="Arial"/>
          <w:bCs/>
        </w:rPr>
        <w:t xml:space="preserve">2/23 financial year the GPL set </w:t>
      </w:r>
      <w:r w:rsidRPr="00144020">
        <w:rPr>
          <w:rFonts w:ascii="Arial" w:eastAsiaTheme="minorEastAsia" w:hAnsi="Arial" w:cs="Arial"/>
          <w:b/>
        </w:rPr>
        <w:t>2</w:t>
      </w:r>
      <w:r>
        <w:rPr>
          <w:rFonts w:ascii="Arial" w:eastAsiaTheme="minorEastAsia" w:hAnsi="Arial" w:cs="Arial"/>
          <w:b/>
        </w:rPr>
        <w:t>3</w:t>
      </w:r>
      <w:r w:rsidRPr="00144020">
        <w:rPr>
          <w:rFonts w:ascii="Arial" w:eastAsiaTheme="minorEastAsia" w:hAnsi="Arial" w:cs="Arial"/>
          <w:b/>
        </w:rPr>
        <w:t xml:space="preserve"> </w:t>
      </w:r>
      <w:r w:rsidRPr="00196D4F">
        <w:rPr>
          <w:rFonts w:ascii="Arial" w:eastAsiaTheme="minorEastAsia" w:hAnsi="Arial" w:cs="Arial"/>
          <w:bCs/>
        </w:rPr>
        <w:t xml:space="preserve">targets and it managed to achieve </w:t>
      </w:r>
      <w:r w:rsidRPr="00144020">
        <w:rPr>
          <w:rFonts w:ascii="Arial" w:eastAsiaTheme="minorEastAsia" w:hAnsi="Arial" w:cs="Arial"/>
          <w:b/>
        </w:rPr>
        <w:t>1</w:t>
      </w:r>
      <w:r>
        <w:rPr>
          <w:rFonts w:ascii="Arial" w:eastAsiaTheme="minorEastAsia" w:hAnsi="Arial" w:cs="Arial"/>
          <w:b/>
        </w:rPr>
        <w:t>9</w:t>
      </w:r>
      <w:r>
        <w:rPr>
          <w:rFonts w:ascii="Arial" w:eastAsiaTheme="minorEastAsia" w:hAnsi="Arial" w:cs="Arial"/>
          <w:bCs/>
        </w:rPr>
        <w:t xml:space="preserve"> and this translates to </w:t>
      </w:r>
      <w:r>
        <w:rPr>
          <w:rFonts w:ascii="Arial" w:eastAsiaTheme="minorEastAsia" w:hAnsi="Arial" w:cs="Arial"/>
          <w:b/>
        </w:rPr>
        <w:t>83</w:t>
      </w:r>
      <w:r w:rsidRPr="00196D4F">
        <w:rPr>
          <w:rFonts w:ascii="Arial" w:eastAsiaTheme="minorEastAsia" w:hAnsi="Arial" w:cs="Arial"/>
          <w:bCs/>
        </w:rPr>
        <w:t xml:space="preserve">% of the planned targets. </w:t>
      </w:r>
    </w:p>
    <w:p w14:paraId="50AA42CC" w14:textId="77777777" w:rsidR="000F6DF8" w:rsidRPr="00763CEB" w:rsidRDefault="000F6DF8" w:rsidP="000F6DF8">
      <w:pPr>
        <w:pStyle w:val="Heading2"/>
        <w:rPr>
          <w:rFonts w:ascii="Arial" w:hAnsi="Arial" w:cs="Arial"/>
          <w:b/>
          <w:bCs/>
          <w:sz w:val="24"/>
          <w:szCs w:val="24"/>
        </w:rPr>
      </w:pPr>
      <w:bookmarkStart w:id="20" w:name="_Toc146084288"/>
      <w:r w:rsidRPr="00763CEB">
        <w:rPr>
          <w:rFonts w:ascii="Arial" w:hAnsi="Arial" w:cs="Arial"/>
          <w:b/>
          <w:bCs/>
          <w:color w:val="auto"/>
          <w:sz w:val="24"/>
          <w:szCs w:val="24"/>
        </w:rPr>
        <w:t>4.1</w:t>
      </w:r>
      <w:r>
        <w:rPr>
          <w:rFonts w:ascii="Arial" w:hAnsi="Arial" w:cs="Arial"/>
          <w:b/>
          <w:bCs/>
          <w:color w:val="auto"/>
          <w:sz w:val="24"/>
          <w:szCs w:val="24"/>
        </w:rPr>
        <w:t xml:space="preserve">Programme one: </w:t>
      </w:r>
      <w:r w:rsidRPr="00763CEB">
        <w:rPr>
          <w:rFonts w:ascii="Arial" w:hAnsi="Arial" w:cs="Arial"/>
          <w:b/>
          <w:bCs/>
          <w:color w:val="auto"/>
          <w:sz w:val="24"/>
          <w:szCs w:val="24"/>
        </w:rPr>
        <w:t>Leadership and Governance</w:t>
      </w:r>
      <w:bookmarkEnd w:id="20"/>
    </w:p>
    <w:p w14:paraId="2ED16474" w14:textId="77777777" w:rsidR="000F6DF8" w:rsidRDefault="000F6DF8" w:rsidP="000F6DF8">
      <w:pPr>
        <w:spacing w:line="360" w:lineRule="auto"/>
        <w:jc w:val="both"/>
        <w:rPr>
          <w:rFonts w:ascii="Arial" w:hAnsi="Arial" w:cs="Arial"/>
        </w:rPr>
      </w:pPr>
      <w:r w:rsidRPr="00196D4F">
        <w:rPr>
          <w:rFonts w:ascii="Arial" w:hAnsi="Arial" w:cs="Arial"/>
        </w:rPr>
        <w:t xml:space="preserve">This programme is charged with the responsibility of providing overall political and strategic leadership within the GPL. </w:t>
      </w:r>
      <w:r>
        <w:rPr>
          <w:rFonts w:ascii="Arial" w:hAnsi="Arial" w:cs="Arial"/>
        </w:rPr>
        <w:t>It</w:t>
      </w:r>
      <w:r w:rsidRPr="00196D4F">
        <w:rPr>
          <w:rFonts w:ascii="Arial" w:hAnsi="Arial" w:cs="Arial"/>
        </w:rPr>
        <w:t xml:space="preserve"> manages the programme of the House and Committees. Th</w:t>
      </w:r>
      <w:r>
        <w:rPr>
          <w:rFonts w:ascii="Arial" w:hAnsi="Arial" w:cs="Arial"/>
        </w:rPr>
        <w:t>is</w:t>
      </w:r>
      <w:r w:rsidRPr="00196D4F">
        <w:rPr>
          <w:rFonts w:ascii="Arial" w:hAnsi="Arial" w:cs="Arial"/>
        </w:rPr>
        <w:t xml:space="preserve"> includes ensuring that the legislative processes are aligned to the policy priorities of this political term; serves as the custodian of law making process; ensuring that there is a well-functioning Presiding Officers forum; approval of the institutional budget; interacting with relevant stakeholders; participates in various forums and conferences such as Commonwealth Parliamentary Association; mainstreaming public participation; adherence to good corporate governance. This is done through </w:t>
      </w:r>
      <w:r>
        <w:rPr>
          <w:rFonts w:ascii="Arial" w:hAnsi="Arial" w:cs="Arial"/>
        </w:rPr>
        <w:t>three directorates</w:t>
      </w:r>
      <w:r w:rsidRPr="00196D4F">
        <w:rPr>
          <w:rFonts w:ascii="Arial" w:hAnsi="Arial" w:cs="Arial"/>
        </w:rPr>
        <w:t>, namely</w:t>
      </w:r>
      <w:r>
        <w:rPr>
          <w:rFonts w:ascii="Arial" w:hAnsi="Arial" w:cs="Arial"/>
        </w:rPr>
        <w:t>:</w:t>
      </w:r>
    </w:p>
    <w:p w14:paraId="624EB9DA" w14:textId="7B226CCF" w:rsidR="000F6DF8" w:rsidRPr="00765530" w:rsidRDefault="000F6DF8" w:rsidP="00D70C89">
      <w:pPr>
        <w:spacing w:line="360" w:lineRule="auto"/>
        <w:jc w:val="both"/>
        <w:rPr>
          <w:rFonts w:ascii="Arial" w:eastAsia="Calibri" w:hAnsi="Arial" w:cs="Arial"/>
          <w:lang w:val="en-US"/>
        </w:rPr>
      </w:pPr>
      <w:r w:rsidRPr="00196D4F">
        <w:rPr>
          <w:rFonts w:ascii="Arial" w:hAnsi="Arial" w:cs="Arial"/>
        </w:rPr>
        <w:t xml:space="preserve"> </w:t>
      </w:r>
      <w:r>
        <w:rPr>
          <w:rFonts w:ascii="Arial" w:eastAsia="Calibri" w:hAnsi="Arial" w:cs="Arial"/>
          <w:lang w:val="en-US"/>
        </w:rPr>
        <w:t>Administrative Operations, t</w:t>
      </w:r>
      <w:r w:rsidRPr="00765530">
        <w:rPr>
          <w:rFonts w:ascii="Arial" w:eastAsia="Calibri" w:hAnsi="Arial" w:cs="Arial"/>
          <w:lang w:val="en-US"/>
        </w:rPr>
        <w:t>his supports offices of the</w:t>
      </w:r>
    </w:p>
    <w:p w14:paraId="013CCD4C" w14:textId="77777777" w:rsidR="000F6DF8" w:rsidRPr="00196D4F" w:rsidRDefault="000F6DF8" w:rsidP="000F6DF8">
      <w:pPr>
        <w:spacing w:after="200" w:line="360" w:lineRule="auto"/>
        <w:ind w:left="720"/>
        <w:contextualSpacing/>
        <w:jc w:val="both"/>
        <w:rPr>
          <w:rFonts w:ascii="Arial" w:eastAsia="Calibri" w:hAnsi="Arial" w:cs="Arial"/>
          <w:lang w:val="en-US"/>
        </w:rPr>
      </w:pPr>
      <w:r w:rsidRPr="00196D4F">
        <w:rPr>
          <w:rFonts w:ascii="Arial" w:eastAsia="Calibri" w:hAnsi="Arial" w:cs="Arial"/>
          <w:lang w:val="en-US"/>
        </w:rPr>
        <w:t xml:space="preserve">Office of the Speaker, </w:t>
      </w:r>
    </w:p>
    <w:p w14:paraId="149C7BB5" w14:textId="77777777" w:rsidR="000F6DF8" w:rsidRDefault="000F6DF8" w:rsidP="000F6DF8">
      <w:pPr>
        <w:spacing w:after="200" w:line="360" w:lineRule="auto"/>
        <w:ind w:left="720"/>
        <w:contextualSpacing/>
        <w:jc w:val="both"/>
        <w:rPr>
          <w:rFonts w:ascii="Arial" w:eastAsia="Calibri" w:hAnsi="Arial" w:cs="Arial"/>
          <w:lang w:val="en-US"/>
        </w:rPr>
      </w:pPr>
      <w:r w:rsidRPr="00196D4F">
        <w:rPr>
          <w:rFonts w:ascii="Arial" w:eastAsia="Calibri" w:hAnsi="Arial" w:cs="Arial"/>
          <w:lang w:val="en-US"/>
        </w:rPr>
        <w:t xml:space="preserve">Office of the Deputy Speaker, </w:t>
      </w:r>
    </w:p>
    <w:p w14:paraId="524290D7" w14:textId="77777777" w:rsidR="000F6DF8" w:rsidRPr="00196D4F" w:rsidRDefault="000F6DF8" w:rsidP="000F6DF8">
      <w:pPr>
        <w:spacing w:after="200" w:line="360" w:lineRule="auto"/>
        <w:ind w:left="720"/>
        <w:contextualSpacing/>
        <w:jc w:val="both"/>
        <w:rPr>
          <w:rFonts w:ascii="Arial" w:eastAsia="Calibri" w:hAnsi="Arial" w:cs="Arial"/>
          <w:lang w:val="en-US"/>
        </w:rPr>
      </w:pPr>
      <w:r w:rsidRPr="00196D4F">
        <w:rPr>
          <w:rFonts w:ascii="Arial" w:eastAsia="Calibri" w:hAnsi="Arial" w:cs="Arial"/>
          <w:lang w:val="en-US"/>
        </w:rPr>
        <w:t>Legislature Services Board</w:t>
      </w:r>
    </w:p>
    <w:p w14:paraId="5EBB7563" w14:textId="77777777" w:rsidR="000F6DF8" w:rsidRDefault="000F6DF8" w:rsidP="000F6DF8">
      <w:pPr>
        <w:numPr>
          <w:ilvl w:val="0"/>
          <w:numId w:val="5"/>
        </w:numPr>
        <w:spacing w:after="200" w:line="360" w:lineRule="auto"/>
        <w:contextualSpacing/>
        <w:jc w:val="both"/>
        <w:rPr>
          <w:rFonts w:ascii="Arial" w:eastAsia="Calibri" w:hAnsi="Arial" w:cs="Arial"/>
          <w:lang w:val="en-US"/>
        </w:rPr>
      </w:pPr>
      <w:r>
        <w:rPr>
          <w:rFonts w:ascii="Arial" w:eastAsia="Calibri" w:hAnsi="Arial" w:cs="Arial"/>
          <w:lang w:val="en-US"/>
        </w:rPr>
        <w:t>Oversight and Strategic Liaison, this supports the</w:t>
      </w:r>
    </w:p>
    <w:p w14:paraId="58934110" w14:textId="77777777" w:rsidR="000F6DF8" w:rsidRPr="00196D4F" w:rsidRDefault="000F6DF8" w:rsidP="000F6DF8">
      <w:pPr>
        <w:spacing w:after="200" w:line="360" w:lineRule="auto"/>
        <w:ind w:left="720"/>
        <w:contextualSpacing/>
        <w:jc w:val="both"/>
        <w:rPr>
          <w:rFonts w:ascii="Arial" w:eastAsia="Calibri" w:hAnsi="Arial" w:cs="Arial"/>
          <w:lang w:val="en-US"/>
        </w:rPr>
      </w:pPr>
      <w:r>
        <w:rPr>
          <w:rFonts w:ascii="Arial" w:eastAsia="Calibri" w:hAnsi="Arial" w:cs="Arial"/>
          <w:lang w:val="en-US"/>
        </w:rPr>
        <w:t xml:space="preserve">Office of the </w:t>
      </w:r>
      <w:r w:rsidRPr="00196D4F">
        <w:rPr>
          <w:rFonts w:ascii="Arial" w:eastAsia="Calibri" w:hAnsi="Arial" w:cs="Arial"/>
          <w:lang w:val="en-US"/>
        </w:rPr>
        <w:t>Chair</w:t>
      </w:r>
      <w:r>
        <w:rPr>
          <w:rFonts w:ascii="Arial" w:eastAsia="Calibri" w:hAnsi="Arial" w:cs="Arial"/>
          <w:lang w:val="en-US"/>
        </w:rPr>
        <w:t>person of Committee</w:t>
      </w:r>
      <w:r w:rsidRPr="00196D4F">
        <w:rPr>
          <w:rFonts w:ascii="Arial" w:eastAsia="Calibri" w:hAnsi="Arial" w:cs="Arial"/>
          <w:lang w:val="en-US"/>
        </w:rPr>
        <w:t xml:space="preserve"> and the </w:t>
      </w:r>
    </w:p>
    <w:p w14:paraId="2433E472" w14:textId="77777777" w:rsidR="000F6DF8" w:rsidRPr="00196D4F" w:rsidRDefault="000F6DF8" w:rsidP="000F6DF8">
      <w:pPr>
        <w:spacing w:after="200" w:line="360" w:lineRule="auto"/>
        <w:ind w:left="720"/>
        <w:contextualSpacing/>
        <w:jc w:val="both"/>
        <w:rPr>
          <w:rFonts w:ascii="Arial" w:eastAsia="Calibri" w:hAnsi="Arial" w:cs="Arial"/>
          <w:lang w:val="en-US"/>
        </w:rPr>
      </w:pPr>
      <w:r w:rsidRPr="00196D4F">
        <w:rPr>
          <w:rFonts w:ascii="Arial" w:eastAsia="Calibri" w:hAnsi="Arial" w:cs="Arial"/>
          <w:lang w:val="en-US"/>
        </w:rPr>
        <w:t>Deputy Chairperson of Committees</w:t>
      </w:r>
    </w:p>
    <w:p w14:paraId="75CFB6E3" w14:textId="77777777" w:rsidR="000F6DF8" w:rsidRDefault="000F6DF8" w:rsidP="000F6DF8">
      <w:pPr>
        <w:numPr>
          <w:ilvl w:val="0"/>
          <w:numId w:val="5"/>
        </w:numPr>
        <w:spacing w:after="200" w:line="360" w:lineRule="auto"/>
        <w:contextualSpacing/>
        <w:jc w:val="both"/>
        <w:rPr>
          <w:rFonts w:ascii="Arial" w:eastAsia="Calibri" w:hAnsi="Arial" w:cs="Arial"/>
          <w:lang w:val="en-US"/>
        </w:rPr>
      </w:pPr>
      <w:r w:rsidRPr="00196D4F">
        <w:rPr>
          <w:rFonts w:ascii="Arial" w:eastAsia="Calibri" w:hAnsi="Arial" w:cs="Arial"/>
          <w:lang w:val="en-US"/>
        </w:rPr>
        <w:t>Inter-Legislature Relations</w:t>
      </w:r>
      <w:r>
        <w:rPr>
          <w:rFonts w:ascii="Arial" w:eastAsia="Calibri" w:hAnsi="Arial" w:cs="Arial"/>
          <w:lang w:val="en-US"/>
        </w:rPr>
        <w:t xml:space="preserve"> directorate is responsible for the sector wide coordination and collaboration and rendering protocol services. </w:t>
      </w:r>
    </w:p>
    <w:p w14:paraId="18389807" w14:textId="77777777" w:rsidR="000F6DF8" w:rsidRPr="00196D4F" w:rsidRDefault="000F6DF8" w:rsidP="000F6DF8">
      <w:pPr>
        <w:spacing w:line="360" w:lineRule="auto"/>
        <w:jc w:val="both"/>
        <w:rPr>
          <w:rFonts w:ascii="Arial" w:hAnsi="Arial" w:cs="Arial"/>
        </w:rPr>
      </w:pPr>
      <w:r w:rsidRPr="00196D4F">
        <w:rPr>
          <w:rFonts w:ascii="Arial" w:hAnsi="Arial" w:cs="Arial"/>
        </w:rPr>
        <w:t xml:space="preserve">Although this programme contributes to all GPL strategic objectives, during the period under review it contributed to four strategic objectives. This programme achieved all its set targets. </w:t>
      </w:r>
    </w:p>
    <w:p w14:paraId="4E2D0249" w14:textId="77777777" w:rsidR="000F6DF8" w:rsidRPr="00763CEB" w:rsidRDefault="000F6DF8" w:rsidP="000F6DF8">
      <w:pPr>
        <w:pStyle w:val="Heading3"/>
        <w:rPr>
          <w:rFonts w:ascii="Arial" w:hAnsi="Arial" w:cs="Arial"/>
          <w:b/>
          <w:bCs/>
        </w:rPr>
      </w:pPr>
      <w:bookmarkStart w:id="21" w:name="_Toc146084289"/>
      <w:r w:rsidRPr="00763CEB">
        <w:rPr>
          <w:rFonts w:ascii="Arial" w:hAnsi="Arial" w:cs="Arial"/>
          <w:b/>
          <w:bCs/>
          <w:color w:val="auto"/>
        </w:rPr>
        <w:t>4.1.1 Strategic Objective One:  Improved Accountability by the Executive to the Legislature in respect of service delivery</w:t>
      </w:r>
      <w:bookmarkEnd w:id="21"/>
    </w:p>
    <w:p w14:paraId="2FBD77C6" w14:textId="77777777" w:rsidR="000F6DF8" w:rsidRPr="00196D4F" w:rsidRDefault="000F6DF8" w:rsidP="000F6DF8">
      <w:pPr>
        <w:spacing w:line="360" w:lineRule="auto"/>
        <w:jc w:val="both"/>
        <w:rPr>
          <w:rFonts w:ascii="Arial" w:hAnsi="Arial" w:cs="Arial"/>
          <w:bCs/>
        </w:rPr>
      </w:pPr>
      <w:r w:rsidRPr="00196D4F">
        <w:rPr>
          <w:rFonts w:ascii="Arial" w:hAnsi="Arial" w:cs="Arial"/>
          <w:bCs/>
        </w:rPr>
        <w:t xml:space="preserve">The committees of the House are core to the mandate of the legislature as they oversee service delivery by the Executive to the people of the province. This strategic objective is aimed at ensuring that the GPL mandate to conduct oversight and scrutiny over the Executive is discharged. </w:t>
      </w:r>
    </w:p>
    <w:p w14:paraId="12A8A4D3" w14:textId="77777777" w:rsidR="000F6DF8" w:rsidRPr="00196D4F" w:rsidRDefault="000F6DF8" w:rsidP="000F6DF8">
      <w:pPr>
        <w:spacing w:line="360" w:lineRule="auto"/>
        <w:jc w:val="both"/>
        <w:rPr>
          <w:rFonts w:ascii="Arial" w:hAnsi="Arial" w:cs="Arial"/>
          <w:bCs/>
        </w:rPr>
      </w:pPr>
    </w:p>
    <w:p w14:paraId="6AC7E779" w14:textId="77777777" w:rsidR="000F6DF8" w:rsidRPr="00196D4F" w:rsidRDefault="000F6DF8" w:rsidP="000F6DF8">
      <w:pPr>
        <w:spacing w:line="360" w:lineRule="auto"/>
        <w:jc w:val="both"/>
        <w:rPr>
          <w:rFonts w:ascii="Arial" w:hAnsi="Arial" w:cs="Arial"/>
          <w:bCs/>
        </w:rPr>
      </w:pPr>
      <w:r w:rsidRPr="00196D4F">
        <w:rPr>
          <w:rFonts w:ascii="Arial" w:hAnsi="Arial" w:cs="Arial"/>
          <w:bCs/>
        </w:rPr>
        <w:t xml:space="preserve">During the period under review, the </w:t>
      </w:r>
      <w:r>
        <w:rPr>
          <w:rFonts w:ascii="Arial" w:hAnsi="Arial" w:cs="Arial"/>
          <w:bCs/>
        </w:rPr>
        <w:t xml:space="preserve">GPL was able to ensure that hybrid and virtual </w:t>
      </w:r>
      <w:r w:rsidRPr="00196D4F">
        <w:rPr>
          <w:rFonts w:ascii="Arial" w:hAnsi="Arial" w:cs="Arial"/>
          <w:bCs/>
        </w:rPr>
        <w:t xml:space="preserve">House and Committees discharged their oversight, public participation and law-making functions properly. This was in line with the parliamentary programme and addressed key activities that emanated from the NCOP. The GPL applied its oversight tools such as committees’ inquiries, questions, motions, oversight visits, resolution tracking mechanism and conducted FISes. There was also an increased application of unannounced visits as a way of validating information provided by the Executive. </w:t>
      </w:r>
    </w:p>
    <w:p w14:paraId="12080F56" w14:textId="77777777" w:rsidR="000F6DF8" w:rsidRPr="00196D4F" w:rsidRDefault="000F6DF8" w:rsidP="000F6DF8">
      <w:pPr>
        <w:spacing w:line="360" w:lineRule="auto"/>
        <w:jc w:val="both"/>
        <w:rPr>
          <w:rFonts w:ascii="Arial" w:hAnsi="Arial" w:cs="Arial"/>
          <w:bCs/>
        </w:rPr>
      </w:pPr>
    </w:p>
    <w:p w14:paraId="5A410BD1" w14:textId="77777777" w:rsidR="000F6DF8" w:rsidRPr="00763CEB" w:rsidRDefault="000F6DF8" w:rsidP="000F6DF8">
      <w:pPr>
        <w:pStyle w:val="Heading3"/>
        <w:rPr>
          <w:rFonts w:ascii="Arial" w:hAnsi="Arial" w:cs="Arial"/>
          <w:b/>
          <w:bCs/>
        </w:rPr>
      </w:pPr>
      <w:bookmarkStart w:id="22" w:name="_Toc146084290"/>
      <w:r w:rsidRPr="00763CEB">
        <w:rPr>
          <w:rFonts w:ascii="Arial" w:hAnsi="Arial" w:cs="Arial"/>
          <w:b/>
          <w:bCs/>
          <w:color w:val="auto"/>
        </w:rPr>
        <w:t>4.1.2 Strategic Objective Two: Improved responsiveness of laws to meet the needs of the people</w:t>
      </w:r>
      <w:bookmarkEnd w:id="22"/>
    </w:p>
    <w:p w14:paraId="0C6F25E6" w14:textId="77777777" w:rsidR="000F6DF8" w:rsidRPr="00196D4F" w:rsidRDefault="000F6DF8" w:rsidP="000F6DF8">
      <w:pPr>
        <w:spacing w:line="360" w:lineRule="auto"/>
        <w:jc w:val="both"/>
        <w:rPr>
          <w:rFonts w:ascii="Arial" w:hAnsi="Arial" w:cs="Arial"/>
          <w:bCs/>
        </w:rPr>
      </w:pPr>
      <w:r w:rsidRPr="00196D4F">
        <w:rPr>
          <w:rFonts w:ascii="Arial" w:hAnsi="Arial" w:cs="Arial"/>
          <w:bCs/>
        </w:rPr>
        <w:t xml:space="preserve">During the period under review the GPL </w:t>
      </w:r>
      <w:r>
        <w:rPr>
          <w:rFonts w:ascii="Arial" w:hAnsi="Arial" w:cs="Arial"/>
          <w:bCs/>
        </w:rPr>
        <w:t xml:space="preserve">put several mechanisms in place to process a number of Section 76 and 77 as well as Provincial bills. 27 bills were process and 4 of these were enacted into law. </w:t>
      </w:r>
    </w:p>
    <w:p w14:paraId="1F0D9B49" w14:textId="77777777" w:rsidR="000F6DF8" w:rsidRPr="00196D4F" w:rsidRDefault="000F6DF8" w:rsidP="000F6DF8">
      <w:pPr>
        <w:spacing w:line="360" w:lineRule="auto"/>
        <w:jc w:val="both"/>
        <w:rPr>
          <w:rFonts w:ascii="Arial" w:hAnsi="Arial" w:cs="Arial"/>
          <w:b/>
          <w:bCs/>
        </w:rPr>
      </w:pPr>
    </w:p>
    <w:p w14:paraId="680AF1DF" w14:textId="77777777" w:rsidR="000F6DF8" w:rsidRPr="00763CEB" w:rsidRDefault="000F6DF8" w:rsidP="000F6DF8">
      <w:pPr>
        <w:pStyle w:val="Heading3"/>
        <w:rPr>
          <w:rFonts w:ascii="Arial" w:hAnsi="Arial" w:cs="Arial"/>
          <w:b/>
          <w:bCs/>
        </w:rPr>
      </w:pPr>
      <w:bookmarkStart w:id="23" w:name="_Toc146084291"/>
      <w:r w:rsidRPr="00763CEB">
        <w:rPr>
          <w:rFonts w:ascii="Arial" w:hAnsi="Arial" w:cs="Arial"/>
          <w:b/>
          <w:bCs/>
          <w:color w:val="auto"/>
        </w:rPr>
        <w:t>4.1.3 Strategic Objective Four: Improved alignment and collaboration between organs of state</w:t>
      </w:r>
      <w:bookmarkEnd w:id="23"/>
    </w:p>
    <w:p w14:paraId="06EDD441" w14:textId="77777777" w:rsidR="000F6DF8" w:rsidRPr="00FB2B18" w:rsidRDefault="000F6DF8" w:rsidP="000F6DF8">
      <w:pPr>
        <w:spacing w:line="360" w:lineRule="auto"/>
        <w:jc w:val="both"/>
        <w:rPr>
          <w:rFonts w:ascii="Arial" w:hAnsi="Arial" w:cs="Arial"/>
        </w:rPr>
      </w:pPr>
      <w:r w:rsidRPr="00196D4F">
        <w:rPr>
          <w:rFonts w:ascii="Arial" w:hAnsi="Arial" w:cs="Arial"/>
          <w:bCs/>
        </w:rPr>
        <w:t>The GPL</w:t>
      </w:r>
      <w:r>
        <w:rPr>
          <w:rFonts w:ascii="Arial" w:hAnsi="Arial" w:cs="Arial"/>
          <w:bCs/>
        </w:rPr>
        <w:t>,</w:t>
      </w:r>
      <w:r w:rsidRPr="00196D4F">
        <w:rPr>
          <w:rFonts w:ascii="Arial" w:hAnsi="Arial" w:cs="Arial"/>
          <w:bCs/>
        </w:rPr>
        <w:t xml:space="preserve"> guided by the Inter-Institutional Relations strategy, participated at various several inter legislature activities both locally and internationally.</w:t>
      </w:r>
      <w:r>
        <w:rPr>
          <w:rFonts w:ascii="Arial" w:hAnsi="Arial" w:cs="Arial"/>
          <w:bCs/>
        </w:rPr>
        <w:t xml:space="preserve"> This came after the lifting of the national state of the disaster in April 2022. Travel and physical engagements were facilitated within and beyond the borders of the country. </w:t>
      </w:r>
      <w:r w:rsidRPr="00FB2B18">
        <w:rPr>
          <w:rFonts w:ascii="Arial" w:hAnsi="Arial" w:cs="Arial"/>
        </w:rPr>
        <w:t xml:space="preserve">In this reporting period, the legislature participated in the National Speakers’ Forum, SALSA and LSS Task Team meetings, </w:t>
      </w:r>
      <w:r>
        <w:rPr>
          <w:rFonts w:ascii="Arial" w:hAnsi="Arial" w:cs="Arial"/>
        </w:rPr>
        <w:t xml:space="preserve">Gauteng Speakers forum as well as it held various engagements with academia, civil society formations and consulates as part of collaborative and transformed legislative sector. </w:t>
      </w:r>
    </w:p>
    <w:p w14:paraId="6CF465BA" w14:textId="77777777" w:rsidR="000F6DF8" w:rsidRDefault="000F6DF8" w:rsidP="000F6DF8">
      <w:pPr>
        <w:spacing w:line="360" w:lineRule="auto"/>
        <w:jc w:val="both"/>
        <w:rPr>
          <w:rFonts w:ascii="Arial" w:hAnsi="Arial" w:cs="Arial"/>
          <w:bCs/>
        </w:rPr>
      </w:pPr>
    </w:p>
    <w:p w14:paraId="76EF7F89" w14:textId="77777777" w:rsidR="000F6DF8" w:rsidRPr="00763CEB" w:rsidRDefault="000F6DF8" w:rsidP="000F6DF8">
      <w:pPr>
        <w:pStyle w:val="Heading3"/>
        <w:rPr>
          <w:rFonts w:ascii="Arial" w:hAnsi="Arial" w:cs="Arial"/>
          <w:b/>
          <w:bCs/>
        </w:rPr>
      </w:pPr>
      <w:bookmarkStart w:id="24" w:name="_Toc146084292"/>
      <w:r w:rsidRPr="00763CEB">
        <w:rPr>
          <w:rFonts w:ascii="Arial" w:hAnsi="Arial" w:cs="Arial"/>
          <w:b/>
          <w:bCs/>
          <w:color w:val="auto"/>
        </w:rPr>
        <w:t>4.1.4 Strategic Objective Five: Enhanced compliance with all relevant fiduciary requirements and principles of good governance</w:t>
      </w:r>
      <w:bookmarkEnd w:id="24"/>
      <w:r w:rsidRPr="00763CEB">
        <w:rPr>
          <w:rFonts w:ascii="Arial" w:hAnsi="Arial" w:cs="Arial"/>
          <w:b/>
          <w:bCs/>
          <w:color w:val="auto"/>
        </w:rPr>
        <w:t xml:space="preserve"> </w:t>
      </w:r>
    </w:p>
    <w:p w14:paraId="5CFCAB6C" w14:textId="77777777" w:rsidR="000F6DF8" w:rsidRDefault="000F6DF8" w:rsidP="000F6DF8">
      <w:pPr>
        <w:spacing w:line="360" w:lineRule="auto"/>
        <w:jc w:val="both"/>
        <w:rPr>
          <w:rFonts w:ascii="Arial" w:hAnsi="Arial" w:cs="Arial"/>
        </w:rPr>
      </w:pPr>
      <w:r>
        <w:rPr>
          <w:rFonts w:ascii="Arial" w:hAnsi="Arial" w:cs="Arial"/>
        </w:rPr>
        <w:t xml:space="preserve">During the </w:t>
      </w:r>
      <w:r w:rsidRPr="00FB2B18">
        <w:rPr>
          <w:rFonts w:ascii="Arial" w:hAnsi="Arial" w:cs="Arial"/>
        </w:rPr>
        <w:t xml:space="preserve">period under review, </w:t>
      </w:r>
      <w:r>
        <w:rPr>
          <w:rFonts w:ascii="Arial" w:hAnsi="Arial" w:cs="Arial"/>
        </w:rPr>
        <w:t xml:space="preserve">the GPL held an Ethics workshop in collaboration with the National Prosecuting Authority (NPA). This workshop was led by the Deputy Speaker and the Integrity Commissioner. Furthermore, the GPL </w:t>
      </w:r>
      <w:r w:rsidRPr="00FB2B18">
        <w:rPr>
          <w:rFonts w:ascii="Arial" w:hAnsi="Arial" w:cs="Arial"/>
        </w:rPr>
        <w:t>the e-disclosure of staff, publication of the Members’ Register</w:t>
      </w:r>
      <w:r>
        <w:rPr>
          <w:rFonts w:ascii="Arial" w:hAnsi="Arial" w:cs="Arial"/>
        </w:rPr>
        <w:t xml:space="preserve"> and </w:t>
      </w:r>
      <w:r w:rsidRPr="00FB2B18">
        <w:rPr>
          <w:rFonts w:ascii="Arial" w:hAnsi="Arial" w:cs="Arial"/>
        </w:rPr>
        <w:t>fraud prevention awareness</w:t>
      </w:r>
      <w:r>
        <w:rPr>
          <w:rFonts w:ascii="Arial" w:hAnsi="Arial" w:cs="Arial"/>
        </w:rPr>
        <w:t xml:space="preserve"> as part of promoting ethical conduct within the GPL community. </w:t>
      </w:r>
    </w:p>
    <w:p w14:paraId="6449236D" w14:textId="77777777" w:rsidR="000F6DF8" w:rsidRDefault="000F6DF8" w:rsidP="000F6DF8">
      <w:pPr>
        <w:spacing w:after="160" w:line="360" w:lineRule="auto"/>
        <w:jc w:val="both"/>
        <w:rPr>
          <w:rFonts w:ascii="Arial" w:hAnsi="Arial" w:cs="Arial"/>
          <w:bCs/>
        </w:rPr>
      </w:pPr>
      <w:r w:rsidRPr="00FB2B18">
        <w:rPr>
          <w:rFonts w:ascii="Arial" w:hAnsi="Arial" w:cs="Arial"/>
        </w:rPr>
        <w:t>Under the fraud risk awareness initiative, several activities were undertaken which include, among others, the review of the Fraud Risk Management Policy and GPL Code of Conduct, compilation of a control assessment report on the fraud risk register for the 202</w:t>
      </w:r>
      <w:r>
        <w:rPr>
          <w:rFonts w:ascii="Arial" w:hAnsi="Arial" w:cs="Arial"/>
        </w:rPr>
        <w:t>1</w:t>
      </w:r>
      <w:r w:rsidRPr="00FB2B18">
        <w:rPr>
          <w:rFonts w:ascii="Arial" w:hAnsi="Arial" w:cs="Arial"/>
        </w:rPr>
        <w:t>/202</w:t>
      </w:r>
      <w:r>
        <w:rPr>
          <w:rFonts w:ascii="Arial" w:hAnsi="Arial" w:cs="Arial"/>
        </w:rPr>
        <w:t>2</w:t>
      </w:r>
      <w:r w:rsidRPr="00FB2B18">
        <w:rPr>
          <w:rFonts w:ascii="Arial" w:hAnsi="Arial" w:cs="Arial"/>
        </w:rPr>
        <w:t xml:space="preserve"> financial year, and compilation of the fraud risk register for the 202</w:t>
      </w:r>
      <w:r>
        <w:rPr>
          <w:rFonts w:ascii="Arial" w:hAnsi="Arial" w:cs="Arial"/>
        </w:rPr>
        <w:t>2/23</w:t>
      </w:r>
      <w:r w:rsidRPr="00FB2B18">
        <w:rPr>
          <w:rFonts w:ascii="Arial" w:hAnsi="Arial" w:cs="Arial"/>
        </w:rPr>
        <w:t xml:space="preserve"> financial year. The Register for Members’ Interest was successfully published, and e-disclosure forms were administered accordingly.</w:t>
      </w:r>
    </w:p>
    <w:p w14:paraId="64E0FA97" w14:textId="77777777" w:rsidR="000F6DF8" w:rsidRPr="00763CEB" w:rsidRDefault="000F6DF8" w:rsidP="000F6DF8">
      <w:pPr>
        <w:pStyle w:val="Heading1"/>
        <w:tabs>
          <w:tab w:val="left" w:pos="5245"/>
        </w:tabs>
        <w:rPr>
          <w:rFonts w:ascii="Arial" w:hAnsi="Arial" w:cs="Arial"/>
          <w:b/>
          <w:bCs/>
          <w:sz w:val="24"/>
          <w:szCs w:val="24"/>
        </w:rPr>
      </w:pPr>
      <w:bookmarkStart w:id="25" w:name="_Toc146084293"/>
      <w:r w:rsidRPr="00763CEB">
        <w:rPr>
          <w:rFonts w:ascii="Arial" w:hAnsi="Arial" w:cs="Arial"/>
          <w:b/>
          <w:bCs/>
          <w:color w:val="auto"/>
          <w:sz w:val="24"/>
          <w:szCs w:val="24"/>
        </w:rPr>
        <w:t>4.2</w:t>
      </w:r>
      <w:r>
        <w:rPr>
          <w:rFonts w:ascii="Arial" w:hAnsi="Arial" w:cs="Arial"/>
          <w:b/>
          <w:bCs/>
          <w:color w:val="auto"/>
          <w:sz w:val="24"/>
          <w:szCs w:val="24"/>
        </w:rPr>
        <w:t xml:space="preserve"> </w:t>
      </w:r>
      <w:r w:rsidRPr="00763CEB">
        <w:rPr>
          <w:rFonts w:ascii="Arial" w:hAnsi="Arial" w:cs="Arial"/>
          <w:b/>
          <w:bCs/>
          <w:color w:val="auto"/>
          <w:sz w:val="24"/>
          <w:szCs w:val="24"/>
        </w:rPr>
        <w:t>Programme Two: Office of the Secretary</w:t>
      </w:r>
      <w:bookmarkEnd w:id="25"/>
    </w:p>
    <w:p w14:paraId="25FA6593" w14:textId="77777777" w:rsidR="000F6DF8" w:rsidRPr="00196D4F" w:rsidRDefault="000F6DF8" w:rsidP="000F6DF8">
      <w:pPr>
        <w:spacing w:line="360" w:lineRule="auto"/>
        <w:jc w:val="both"/>
        <w:rPr>
          <w:rFonts w:ascii="Arial" w:eastAsiaTheme="majorEastAsia" w:hAnsi="Arial" w:cs="Arial"/>
        </w:rPr>
      </w:pPr>
      <w:r w:rsidRPr="00196D4F">
        <w:rPr>
          <w:rFonts w:ascii="Arial" w:eastAsiaTheme="majorEastAsia" w:hAnsi="Arial" w:cs="Arial"/>
        </w:rPr>
        <w:t xml:space="preserve">The Office of the Secretary is responsible for the overall administrative functions within the GPL. The strategic objective of this programme is to ensure that there is the implementation of the institutional mandate of oversight and scrutiny, law making, public participation and cooperative governance. The Office is established to fulfil the administrative and financial obligations in line with applicable legislation and legal directives. </w:t>
      </w:r>
    </w:p>
    <w:p w14:paraId="12176F67" w14:textId="77777777" w:rsidR="000F6DF8" w:rsidRPr="00196D4F" w:rsidRDefault="000F6DF8" w:rsidP="000F6DF8">
      <w:pPr>
        <w:spacing w:line="360" w:lineRule="auto"/>
        <w:jc w:val="both"/>
        <w:rPr>
          <w:rFonts w:ascii="Arial" w:eastAsiaTheme="majorEastAsia" w:hAnsi="Arial" w:cs="Arial"/>
        </w:rPr>
      </w:pPr>
    </w:p>
    <w:p w14:paraId="28198255" w14:textId="77777777" w:rsidR="000F6DF8" w:rsidRPr="00196D4F" w:rsidRDefault="000F6DF8" w:rsidP="000F6DF8">
      <w:pPr>
        <w:spacing w:after="160" w:line="360" w:lineRule="auto"/>
        <w:jc w:val="both"/>
        <w:rPr>
          <w:rFonts w:ascii="Arial" w:eastAsiaTheme="majorEastAsia" w:hAnsi="Arial" w:cs="Arial"/>
        </w:rPr>
      </w:pPr>
      <w:r w:rsidRPr="00196D4F">
        <w:rPr>
          <w:rFonts w:ascii="Arial" w:eastAsiaTheme="majorEastAsia" w:hAnsi="Arial" w:cs="Arial"/>
        </w:rPr>
        <w:t>This programme contributes to all strategic objectives. It ensures alignment of strategy to operational plans, monitor GPL programmes in their performance and directly responds to Strategic Objectives 5</w:t>
      </w:r>
      <w:r>
        <w:rPr>
          <w:rFonts w:ascii="Arial" w:eastAsiaTheme="majorEastAsia" w:hAnsi="Arial" w:cs="Arial"/>
        </w:rPr>
        <w:t>: Enhanced compliance with all relevant fiduciary requirements and principles of good governance. All</w:t>
      </w:r>
      <w:r w:rsidRPr="00FB2B18">
        <w:rPr>
          <w:rFonts w:ascii="Arial" w:hAnsi="Arial" w:cs="Arial"/>
        </w:rPr>
        <w:t xml:space="preserve"> three performance indicators and targets that were planned</w:t>
      </w:r>
      <w:r>
        <w:rPr>
          <w:rFonts w:ascii="Arial" w:hAnsi="Arial" w:cs="Arial"/>
        </w:rPr>
        <w:t xml:space="preserve"> were achieved. </w:t>
      </w:r>
    </w:p>
    <w:p w14:paraId="75A9CE64" w14:textId="77777777" w:rsidR="000F6DF8" w:rsidRPr="00763CEB" w:rsidRDefault="000F6DF8" w:rsidP="000F6DF8">
      <w:pPr>
        <w:pStyle w:val="Heading2"/>
        <w:rPr>
          <w:rFonts w:ascii="Arial" w:hAnsi="Arial" w:cs="Arial"/>
          <w:b/>
          <w:bCs/>
          <w:sz w:val="24"/>
          <w:szCs w:val="24"/>
        </w:rPr>
      </w:pPr>
      <w:bookmarkStart w:id="26" w:name="_Toc146084294"/>
      <w:r w:rsidRPr="00763CEB">
        <w:rPr>
          <w:rFonts w:ascii="Arial" w:hAnsi="Arial" w:cs="Arial"/>
          <w:b/>
          <w:bCs/>
          <w:color w:val="auto"/>
          <w:sz w:val="24"/>
          <w:szCs w:val="24"/>
        </w:rPr>
        <w:t>4.2.1 Strategic Objective Five: Enhanced compliance with relevant fiduciary requirements and principles of good governance</w:t>
      </w:r>
      <w:bookmarkEnd w:id="26"/>
    </w:p>
    <w:p w14:paraId="0E5FD887" w14:textId="77777777" w:rsidR="000F6DF8" w:rsidRDefault="000F6DF8" w:rsidP="000F6DF8">
      <w:pPr>
        <w:spacing w:line="360" w:lineRule="auto"/>
        <w:jc w:val="both"/>
        <w:rPr>
          <w:rFonts w:ascii="Arial" w:hAnsi="Arial" w:cs="Arial"/>
        </w:rPr>
      </w:pPr>
      <w:r w:rsidRPr="00A341C1">
        <w:rPr>
          <w:rFonts w:ascii="Arial" w:hAnsi="Arial" w:cs="Arial"/>
        </w:rPr>
        <w:t>In line with the Financial Management of Parliament and Provincial Legislatures Act (FMPPLA), the programme ensured that the institution complies with the prescripts of this Act by ensuring that six performance reports (that is, four quarter reports, one mid-year, and one annual report) are compiled and submitted to the Executive Authority timeously. Additionally, the institutional planning support for the 202</w:t>
      </w:r>
      <w:r>
        <w:rPr>
          <w:rFonts w:ascii="Arial" w:hAnsi="Arial" w:cs="Arial"/>
        </w:rPr>
        <w:t>2/23</w:t>
      </w:r>
      <w:r w:rsidRPr="00A341C1">
        <w:rPr>
          <w:rFonts w:ascii="Arial" w:hAnsi="Arial" w:cs="Arial"/>
        </w:rPr>
        <w:t xml:space="preserve"> financial year was provided to committees as well as Administration programmes and the reports thereof were subsequently tabled before all the oversight structures for approval.</w:t>
      </w:r>
    </w:p>
    <w:p w14:paraId="0E0272CF" w14:textId="77777777" w:rsidR="000F6DF8" w:rsidRDefault="000F6DF8" w:rsidP="000F6DF8">
      <w:pPr>
        <w:spacing w:line="360" w:lineRule="auto"/>
        <w:jc w:val="both"/>
        <w:rPr>
          <w:rFonts w:ascii="Arial" w:eastAsia="Calibri" w:hAnsi="Arial" w:cs="Arial"/>
        </w:rPr>
      </w:pPr>
      <w:r w:rsidRPr="00196D4F">
        <w:rPr>
          <w:rFonts w:ascii="Arial" w:hAnsi="Arial" w:cs="Arial"/>
          <w:bCs/>
        </w:rPr>
        <w:t xml:space="preserve">The Office of the Secretary ensured that there was an implementation of the GPL Strategy through tracking decisions of Presiding Officers and Office bearers. In addition, the GPL implemented the </w:t>
      </w:r>
      <w:r w:rsidRPr="002242A3">
        <w:rPr>
          <w:rFonts w:ascii="Arial" w:hAnsi="Arial" w:cs="Arial"/>
          <w:bCs/>
        </w:rPr>
        <w:t>202</w:t>
      </w:r>
      <w:r>
        <w:rPr>
          <w:rFonts w:ascii="Arial" w:hAnsi="Arial" w:cs="Arial"/>
          <w:bCs/>
        </w:rPr>
        <w:t xml:space="preserve">2/23 </w:t>
      </w:r>
      <w:r w:rsidRPr="002242A3">
        <w:rPr>
          <w:rFonts w:ascii="Arial" w:hAnsi="Arial" w:cs="Arial"/>
          <w:bCs/>
        </w:rPr>
        <w:t>APP as raised by the AG during the 20</w:t>
      </w:r>
      <w:r>
        <w:rPr>
          <w:rFonts w:ascii="Arial" w:hAnsi="Arial" w:cs="Arial"/>
          <w:bCs/>
        </w:rPr>
        <w:t>20/21</w:t>
      </w:r>
      <w:r w:rsidRPr="002242A3">
        <w:rPr>
          <w:rFonts w:ascii="Arial" w:hAnsi="Arial" w:cs="Arial"/>
          <w:bCs/>
        </w:rPr>
        <w:t xml:space="preserve"> findings. </w:t>
      </w:r>
      <w:r w:rsidRPr="00196D4F">
        <w:rPr>
          <w:rFonts w:ascii="Arial" w:hAnsi="Arial" w:cs="Arial"/>
          <w:bCs/>
        </w:rPr>
        <w:t xml:space="preserve">Furthermore, the </w:t>
      </w:r>
      <w:r w:rsidRPr="002242A3">
        <w:rPr>
          <w:rFonts w:ascii="Arial" w:hAnsi="Arial" w:cs="Arial"/>
          <w:bCs/>
        </w:rPr>
        <w:t>202</w:t>
      </w:r>
      <w:r>
        <w:rPr>
          <w:rFonts w:ascii="Arial" w:hAnsi="Arial" w:cs="Arial"/>
          <w:bCs/>
        </w:rPr>
        <w:t>2/23</w:t>
      </w:r>
      <w:r w:rsidRPr="00196D4F">
        <w:rPr>
          <w:rFonts w:ascii="Arial" w:hAnsi="Arial" w:cs="Arial"/>
          <w:bCs/>
        </w:rPr>
        <w:t xml:space="preserve"> draft APP and operational plans were developed and submitted as per the legislative prescripts. </w:t>
      </w:r>
      <w:r w:rsidRPr="00196D4F">
        <w:rPr>
          <w:rFonts w:ascii="Arial" w:eastAsia="Calibri" w:hAnsi="Arial" w:cs="Arial"/>
        </w:rPr>
        <w:t xml:space="preserve">During the period under review the Secretariat deliberated and adopted various policies and reports related to planning, reporting and financial management. Monthly and quarterly financial reports were considered and approved during the period under reviewed. </w:t>
      </w:r>
    </w:p>
    <w:p w14:paraId="2DEB8621" w14:textId="77777777" w:rsidR="00D70C89" w:rsidRPr="00196D4F" w:rsidRDefault="00D70C89" w:rsidP="000F6DF8">
      <w:pPr>
        <w:spacing w:line="360" w:lineRule="auto"/>
        <w:jc w:val="both"/>
        <w:rPr>
          <w:rFonts w:ascii="Arial" w:eastAsia="Calibri" w:hAnsi="Arial" w:cs="Arial"/>
        </w:rPr>
      </w:pPr>
    </w:p>
    <w:p w14:paraId="0EFB38C8" w14:textId="484B2B70" w:rsidR="000F6DF8" w:rsidRDefault="000F6DF8" w:rsidP="000F6DF8">
      <w:pPr>
        <w:spacing w:line="360" w:lineRule="auto"/>
        <w:jc w:val="both"/>
        <w:rPr>
          <w:rFonts w:ascii="Arial" w:eastAsia="Calibri" w:hAnsi="Arial" w:cs="Arial"/>
        </w:rPr>
      </w:pPr>
      <w:r w:rsidRPr="00196D4F">
        <w:rPr>
          <w:rFonts w:ascii="Arial" w:eastAsia="Calibri" w:hAnsi="Arial" w:cs="Arial"/>
        </w:rPr>
        <w:t xml:space="preserve">In compliance with the contract management framework, </w:t>
      </w:r>
      <w:r>
        <w:rPr>
          <w:rFonts w:ascii="Arial" w:eastAsia="Calibri" w:hAnsi="Arial" w:cs="Arial"/>
        </w:rPr>
        <w:t xml:space="preserve">the </w:t>
      </w:r>
      <w:r w:rsidRPr="00196D4F">
        <w:rPr>
          <w:rFonts w:ascii="Arial" w:eastAsia="Calibri" w:hAnsi="Arial" w:cs="Arial"/>
        </w:rPr>
        <w:t xml:space="preserve">status of all contracts was monitored and tracked to ensure that the decisions of the Legislature Acquisition Council were properly adhered to. </w:t>
      </w:r>
      <w:r>
        <w:rPr>
          <w:rFonts w:ascii="Arial" w:eastAsia="Calibri" w:hAnsi="Arial" w:cs="Arial"/>
        </w:rPr>
        <w:t xml:space="preserve">The programme </w:t>
      </w:r>
      <w:r w:rsidRPr="00196D4F">
        <w:rPr>
          <w:rFonts w:ascii="Arial" w:eastAsia="Calibri" w:hAnsi="Arial" w:cs="Arial"/>
        </w:rPr>
        <w:t>also continued to provide oversight and ensured seamless planning, budgeting and reporting throughout the year under review. It should also be noted that the transversal mainstreaming was embedded within the institution. All the transversal mainstreaming training</w:t>
      </w:r>
      <w:r>
        <w:rPr>
          <w:rFonts w:ascii="Arial" w:eastAsia="Calibri" w:hAnsi="Arial" w:cs="Arial"/>
        </w:rPr>
        <w:t>s</w:t>
      </w:r>
      <w:r w:rsidRPr="00196D4F">
        <w:rPr>
          <w:rFonts w:ascii="Arial" w:eastAsia="Calibri" w:hAnsi="Arial" w:cs="Arial"/>
        </w:rPr>
        <w:t xml:space="preserve"> were held as part of building capacity on issues of marginalised groups. </w:t>
      </w:r>
      <w:r>
        <w:rPr>
          <w:rFonts w:ascii="Arial" w:eastAsia="Calibri" w:hAnsi="Arial" w:cs="Arial"/>
        </w:rPr>
        <w:t xml:space="preserve">Five (5) training sessions were successfully conducted. </w:t>
      </w:r>
      <w:r w:rsidR="004D3329">
        <w:rPr>
          <w:rFonts w:ascii="Arial" w:eastAsia="Calibri" w:hAnsi="Arial" w:cs="Arial"/>
        </w:rPr>
        <w:t xml:space="preserve">The Committee should be appraised on how these planned targets were achieved even though there is a vacancy of a gender focal point person and how this vacancy is affecting the issues that reside within that space. </w:t>
      </w:r>
    </w:p>
    <w:p w14:paraId="5320B2D8" w14:textId="03F1AB17" w:rsidR="000F6DF8" w:rsidRDefault="000F6DF8" w:rsidP="000F6DF8">
      <w:pPr>
        <w:spacing w:line="360" w:lineRule="auto"/>
        <w:jc w:val="both"/>
        <w:rPr>
          <w:rFonts w:ascii="Arial" w:eastAsia="Calibri" w:hAnsi="Arial" w:cs="Arial"/>
        </w:rPr>
      </w:pPr>
    </w:p>
    <w:p w14:paraId="56BE125E" w14:textId="77777777" w:rsidR="000F6DF8" w:rsidRPr="00196D4F" w:rsidRDefault="000F6DF8" w:rsidP="000F6DF8">
      <w:pPr>
        <w:spacing w:line="360" w:lineRule="auto"/>
        <w:jc w:val="both"/>
        <w:rPr>
          <w:rFonts w:ascii="Arial" w:hAnsi="Arial" w:cs="Arial"/>
          <w:b/>
          <w:bCs/>
        </w:rPr>
      </w:pPr>
      <w:r w:rsidRPr="00196D4F">
        <w:rPr>
          <w:rFonts w:ascii="Arial" w:eastAsia="Calibri" w:hAnsi="Arial" w:cs="Arial"/>
        </w:rPr>
        <w:t xml:space="preserve">Through the Project Governance Office, the GPL was able to </w:t>
      </w:r>
      <w:r>
        <w:rPr>
          <w:rFonts w:ascii="Arial" w:eastAsia="Calibri" w:hAnsi="Arial" w:cs="Arial"/>
        </w:rPr>
        <w:t xml:space="preserve">play leadership and oversight on institutional projects such as the Space optimisation, records management and money bills. It would be in the interest of the Committee to be appraised on the progress of these projects. </w:t>
      </w:r>
      <w:r w:rsidRPr="00196D4F">
        <w:rPr>
          <w:rFonts w:ascii="Arial" w:eastAsia="Calibri" w:hAnsi="Arial" w:cs="Arial"/>
        </w:rPr>
        <w:t xml:space="preserve"> </w:t>
      </w:r>
    </w:p>
    <w:p w14:paraId="54D38573" w14:textId="77777777" w:rsidR="000F6DF8" w:rsidRPr="00763CEB" w:rsidRDefault="000F6DF8" w:rsidP="000F6DF8">
      <w:pPr>
        <w:pStyle w:val="Heading1"/>
        <w:rPr>
          <w:rFonts w:ascii="Arial" w:hAnsi="Arial" w:cs="Arial"/>
          <w:b/>
          <w:bCs/>
          <w:sz w:val="24"/>
          <w:szCs w:val="24"/>
        </w:rPr>
      </w:pPr>
      <w:bookmarkStart w:id="27" w:name="_Toc146084295"/>
      <w:r w:rsidRPr="00763CEB">
        <w:rPr>
          <w:rFonts w:ascii="Arial" w:hAnsi="Arial" w:cs="Arial"/>
          <w:b/>
          <w:bCs/>
          <w:color w:val="auto"/>
          <w:sz w:val="24"/>
          <w:szCs w:val="24"/>
        </w:rPr>
        <w:t>4.3 Programme Three: Corporate Support Services</w:t>
      </w:r>
      <w:bookmarkEnd w:id="27"/>
    </w:p>
    <w:p w14:paraId="51B37CCB" w14:textId="77777777" w:rsidR="000F6DF8" w:rsidRDefault="000F6DF8" w:rsidP="000F6DF8">
      <w:pPr>
        <w:spacing w:line="360" w:lineRule="auto"/>
        <w:jc w:val="both"/>
        <w:rPr>
          <w:rFonts w:ascii="Arial" w:eastAsiaTheme="majorEastAsia" w:hAnsi="Arial" w:cs="Arial"/>
        </w:rPr>
      </w:pPr>
      <w:r w:rsidRPr="00196D4F">
        <w:rPr>
          <w:rFonts w:ascii="Arial" w:eastAsiaTheme="majorEastAsia" w:hAnsi="Arial" w:cs="Arial"/>
        </w:rPr>
        <w:t>This programme gives support within areas of Human Resources, ICT, Security, Building and Administration. This programme is sub divided four sub</w:t>
      </w:r>
      <w:r>
        <w:rPr>
          <w:rFonts w:ascii="Arial" w:eastAsiaTheme="majorEastAsia" w:hAnsi="Arial" w:cs="Arial"/>
        </w:rPr>
        <w:t>-</w:t>
      </w:r>
      <w:r w:rsidRPr="00196D4F">
        <w:rPr>
          <w:rFonts w:ascii="Arial" w:eastAsiaTheme="majorEastAsia" w:hAnsi="Arial" w:cs="Arial"/>
        </w:rPr>
        <w:t xml:space="preserve">programme, namely Office of the Executive Director, Members Affairs, Institutional Support Services and Operational Support Services. This programme coordinates the implementation of two Strategic Objectives 5 (enhanced </w:t>
      </w:r>
      <w:r>
        <w:rPr>
          <w:rFonts w:ascii="Arial" w:eastAsiaTheme="majorEastAsia" w:hAnsi="Arial" w:cs="Arial"/>
        </w:rPr>
        <w:t>compliance with relevant fiduciary requirements and principles of good governance</w:t>
      </w:r>
      <w:r w:rsidRPr="00196D4F">
        <w:rPr>
          <w:rFonts w:ascii="Arial" w:eastAsiaTheme="majorEastAsia" w:hAnsi="Arial" w:cs="Arial"/>
        </w:rPr>
        <w:t xml:space="preserve">). </w:t>
      </w:r>
    </w:p>
    <w:p w14:paraId="7E1591E4" w14:textId="77777777" w:rsidR="00D70C89" w:rsidRDefault="00D70C89" w:rsidP="000F6DF8">
      <w:pPr>
        <w:spacing w:line="360" w:lineRule="auto"/>
        <w:jc w:val="both"/>
        <w:rPr>
          <w:rFonts w:ascii="Arial" w:eastAsiaTheme="majorEastAsia" w:hAnsi="Arial" w:cs="Arial"/>
        </w:rPr>
      </w:pPr>
    </w:p>
    <w:p w14:paraId="6DC766CA" w14:textId="77777777" w:rsidR="000F6DF8" w:rsidRPr="00E00BF6" w:rsidRDefault="000F6DF8" w:rsidP="000F6DF8">
      <w:pPr>
        <w:spacing w:line="360" w:lineRule="auto"/>
        <w:jc w:val="both"/>
        <w:rPr>
          <w:rFonts w:ascii="Arial" w:hAnsi="Arial" w:cs="Arial"/>
        </w:rPr>
      </w:pPr>
      <w:r w:rsidRPr="00CE4CF7">
        <w:rPr>
          <w:rFonts w:ascii="Arial" w:hAnsi="Arial" w:cs="Arial"/>
        </w:rPr>
        <w:t xml:space="preserve">For the period under review, </w:t>
      </w:r>
      <w:r>
        <w:rPr>
          <w:rFonts w:ascii="Arial" w:hAnsi="Arial" w:cs="Arial"/>
        </w:rPr>
        <w:t xml:space="preserve">the </w:t>
      </w:r>
      <w:r w:rsidRPr="00E00BF6">
        <w:rPr>
          <w:rFonts w:ascii="Arial" w:hAnsi="Arial" w:cs="Arial"/>
        </w:rPr>
        <w:t>two perform</w:t>
      </w:r>
      <w:r>
        <w:rPr>
          <w:rFonts w:ascii="Arial" w:hAnsi="Arial" w:cs="Arial"/>
        </w:rPr>
        <w:t xml:space="preserve">ance targets were not realised are </w:t>
      </w:r>
      <w:r w:rsidRPr="00E00BF6">
        <w:rPr>
          <w:rFonts w:ascii="Arial" w:hAnsi="Arial" w:cs="Arial"/>
        </w:rPr>
        <w:t xml:space="preserve">100% implementation of the milestones of the five-year Human Resource Strategy and Implementation Plan, and the </w:t>
      </w:r>
      <w:r>
        <w:rPr>
          <w:rFonts w:ascii="Arial" w:hAnsi="Arial" w:cs="Arial"/>
        </w:rPr>
        <w:t xml:space="preserve">leadership initiatives. The Committee should be provided with reasons for the non-attainment of the above targets as these were also not achieved during the quarterly reporting periods. Of importance in areas of HR would be the talent management and the value creation project which the Committee should be taken into confidence on the progress or lack thereof. </w:t>
      </w:r>
    </w:p>
    <w:p w14:paraId="15BF3491" w14:textId="77777777" w:rsidR="000F6DF8" w:rsidRPr="00763CEB" w:rsidRDefault="000F6DF8" w:rsidP="000F6DF8">
      <w:pPr>
        <w:pStyle w:val="Heading2"/>
        <w:rPr>
          <w:rFonts w:ascii="Arial" w:hAnsi="Arial" w:cs="Arial"/>
          <w:b/>
          <w:bCs/>
          <w:sz w:val="24"/>
          <w:szCs w:val="24"/>
        </w:rPr>
      </w:pPr>
      <w:bookmarkStart w:id="28" w:name="_Toc146084296"/>
      <w:r w:rsidRPr="00763CEB">
        <w:rPr>
          <w:rFonts w:ascii="Arial" w:hAnsi="Arial" w:cs="Arial"/>
          <w:b/>
          <w:bCs/>
          <w:color w:val="auto"/>
          <w:sz w:val="24"/>
          <w:szCs w:val="24"/>
        </w:rPr>
        <w:t>4.3.1. Strategic Objective Five: Enhanced compliance with relevant fiduciary requirements and principles of good governance</w:t>
      </w:r>
      <w:bookmarkEnd w:id="28"/>
    </w:p>
    <w:p w14:paraId="635068C7" w14:textId="77777777" w:rsidR="000F6DF8" w:rsidRPr="00196D4F" w:rsidRDefault="000F6DF8" w:rsidP="000F6DF8">
      <w:pPr>
        <w:spacing w:line="360" w:lineRule="auto"/>
        <w:jc w:val="both"/>
        <w:rPr>
          <w:rFonts w:ascii="Arial" w:hAnsi="Arial" w:cs="Arial"/>
          <w:bCs/>
        </w:rPr>
      </w:pPr>
      <w:r w:rsidRPr="00196D4F">
        <w:rPr>
          <w:rFonts w:ascii="Arial" w:hAnsi="Arial" w:cs="Arial"/>
          <w:bCs/>
        </w:rPr>
        <w:t xml:space="preserve">The contribution towards the enhanced </w:t>
      </w:r>
      <w:r>
        <w:rPr>
          <w:rFonts w:ascii="Arial" w:hAnsi="Arial" w:cs="Arial"/>
          <w:bCs/>
        </w:rPr>
        <w:t>compliance with relevant fiduciary requirements and principles of good governance</w:t>
      </w:r>
      <w:r w:rsidRPr="00196D4F">
        <w:rPr>
          <w:rFonts w:ascii="Arial" w:hAnsi="Arial" w:cs="Arial"/>
          <w:bCs/>
        </w:rPr>
        <w:t xml:space="preserve"> the legislature continued to provide support to Members by rolling out capacity building, wellness and social responsibility campaigns. </w:t>
      </w:r>
      <w:r>
        <w:rPr>
          <w:rFonts w:ascii="Arial" w:hAnsi="Arial" w:cs="Arial"/>
          <w:bCs/>
        </w:rPr>
        <w:t xml:space="preserve">All six (6) planned training initiatives were rolled out. Personal development programmes were disaggregated into personal courses conducted through distance learning. </w:t>
      </w:r>
    </w:p>
    <w:p w14:paraId="1ED08CC9" w14:textId="77777777" w:rsidR="000F6DF8" w:rsidRPr="00196D4F" w:rsidRDefault="000F6DF8" w:rsidP="000F6DF8">
      <w:pPr>
        <w:spacing w:line="360" w:lineRule="auto"/>
        <w:jc w:val="both"/>
        <w:rPr>
          <w:rFonts w:ascii="Arial" w:hAnsi="Arial" w:cs="Arial"/>
          <w:bCs/>
        </w:rPr>
      </w:pPr>
    </w:p>
    <w:p w14:paraId="41B5C37A" w14:textId="77777777" w:rsidR="000F6DF8" w:rsidRDefault="000F6DF8" w:rsidP="000F6DF8">
      <w:pPr>
        <w:spacing w:line="360" w:lineRule="auto"/>
        <w:jc w:val="both"/>
        <w:rPr>
          <w:rFonts w:ascii="Arial" w:hAnsi="Arial" w:cs="Arial"/>
          <w:bCs/>
        </w:rPr>
      </w:pPr>
      <w:r w:rsidRPr="00196D4F">
        <w:rPr>
          <w:rFonts w:ascii="Arial" w:hAnsi="Arial" w:cs="Arial"/>
          <w:bCs/>
        </w:rPr>
        <w:t xml:space="preserve">Furthermore, party funds and constituency allowances were paid in time in line with the legislative prescripts. Financial audits were conducted to all political parties, and all received clean audits. This was </w:t>
      </w:r>
      <w:r>
        <w:rPr>
          <w:rFonts w:ascii="Arial" w:hAnsi="Arial" w:cs="Arial"/>
          <w:bCs/>
        </w:rPr>
        <w:t xml:space="preserve">also </w:t>
      </w:r>
      <w:r w:rsidRPr="00196D4F">
        <w:rPr>
          <w:rFonts w:ascii="Arial" w:hAnsi="Arial" w:cs="Arial"/>
          <w:bCs/>
        </w:rPr>
        <w:t xml:space="preserve">achieved in the last financial year. </w:t>
      </w:r>
    </w:p>
    <w:p w14:paraId="7518EB98" w14:textId="77777777" w:rsidR="000F6DF8" w:rsidRDefault="000F6DF8" w:rsidP="000F6DF8">
      <w:pPr>
        <w:spacing w:line="360" w:lineRule="auto"/>
        <w:jc w:val="both"/>
        <w:rPr>
          <w:rFonts w:ascii="Arial" w:hAnsi="Arial" w:cs="Arial"/>
          <w:bCs/>
        </w:rPr>
      </w:pPr>
    </w:p>
    <w:p w14:paraId="581322F9" w14:textId="77777777" w:rsidR="000F6DF8" w:rsidRDefault="000F6DF8" w:rsidP="000F6DF8">
      <w:pPr>
        <w:spacing w:after="160" w:line="360" w:lineRule="auto"/>
        <w:jc w:val="both"/>
        <w:rPr>
          <w:rFonts w:ascii="Arial" w:hAnsi="Arial" w:cs="Arial"/>
        </w:rPr>
      </w:pPr>
      <w:r w:rsidRPr="00E00BF6">
        <w:rPr>
          <w:rFonts w:ascii="Arial" w:hAnsi="Arial" w:cs="Arial"/>
        </w:rPr>
        <w:t xml:space="preserve">To ensure that governance remains intact in the institution, the Policy Committee approved </w:t>
      </w:r>
      <w:r>
        <w:rPr>
          <w:rFonts w:ascii="Arial" w:hAnsi="Arial" w:cs="Arial"/>
        </w:rPr>
        <w:t>six (6)</w:t>
      </w:r>
      <w:r w:rsidRPr="00E00BF6">
        <w:rPr>
          <w:rFonts w:ascii="Arial" w:hAnsi="Arial" w:cs="Arial"/>
        </w:rPr>
        <w:t xml:space="preserve"> policies in total. These include the Integrated Performance Management System Policy, ICT Policy, Fraud and Risk Management Policy, Gift Policy, and Sport, Recreation and Arts Policy. Furthermore, the LSB approved the Leave Policy and Funeral Policy during the reporting period.</w:t>
      </w:r>
    </w:p>
    <w:p w14:paraId="713194ED" w14:textId="77777777" w:rsidR="000F6DF8" w:rsidRDefault="000F6DF8" w:rsidP="000F6DF8">
      <w:pPr>
        <w:spacing w:line="360" w:lineRule="auto"/>
        <w:jc w:val="both"/>
        <w:rPr>
          <w:rFonts w:ascii="Arial" w:hAnsi="Arial" w:cs="Arial"/>
        </w:rPr>
      </w:pPr>
      <w:r>
        <w:rPr>
          <w:rFonts w:ascii="Arial" w:hAnsi="Arial" w:cs="Arial"/>
        </w:rPr>
        <w:t xml:space="preserve">In terms of targets under the </w:t>
      </w:r>
      <w:r w:rsidRPr="00E00BF6">
        <w:rPr>
          <w:rFonts w:ascii="Arial" w:hAnsi="Arial" w:cs="Arial"/>
        </w:rPr>
        <w:t>ICT</w:t>
      </w:r>
      <w:r>
        <w:rPr>
          <w:rFonts w:ascii="Arial" w:hAnsi="Arial" w:cs="Arial"/>
        </w:rPr>
        <w:t xml:space="preserve">, the 5-year ICT strategy was implemented as planned. </w:t>
      </w:r>
      <w:r w:rsidRPr="00E00BF6">
        <w:rPr>
          <w:rFonts w:ascii="Arial" w:hAnsi="Arial" w:cs="Arial"/>
        </w:rPr>
        <w:t xml:space="preserve">Several key initiatives were prioritised for implementation in this reporting period. These included the Digital Legislature, the digitisation of the records management of the institution, automation of the business processes, and improvements in the areas of the Information Technology facilities (Cloud) and information management controls (COBIT). </w:t>
      </w:r>
    </w:p>
    <w:p w14:paraId="162B4C93" w14:textId="77777777" w:rsidR="000F6DF8" w:rsidRDefault="000F6DF8" w:rsidP="000F6DF8">
      <w:pPr>
        <w:spacing w:line="360" w:lineRule="auto"/>
        <w:jc w:val="both"/>
        <w:rPr>
          <w:rFonts w:ascii="Arial" w:eastAsiaTheme="majorEastAsia" w:hAnsi="Arial" w:cs="Arial"/>
        </w:rPr>
      </w:pPr>
      <w:r w:rsidRPr="00196D4F">
        <w:rPr>
          <w:rFonts w:ascii="Arial" w:eastAsiaTheme="majorEastAsia" w:hAnsi="Arial" w:cs="Arial"/>
        </w:rPr>
        <w:t xml:space="preserve">The GPL continued to provide a conducive working environment to both MPLs and staff. However, it should be noted that the Committee had raised sharply during the quarterly reporting periods a number of safety, cleanliness and health hazards issues. </w:t>
      </w:r>
    </w:p>
    <w:p w14:paraId="16255C47" w14:textId="77777777" w:rsidR="000F6DF8" w:rsidRPr="00763CEB" w:rsidRDefault="000F6DF8" w:rsidP="000F6DF8">
      <w:pPr>
        <w:pStyle w:val="Heading1"/>
        <w:rPr>
          <w:rFonts w:ascii="Arial" w:hAnsi="Arial" w:cs="Arial"/>
          <w:b/>
          <w:bCs/>
          <w:sz w:val="24"/>
          <w:szCs w:val="24"/>
        </w:rPr>
      </w:pPr>
      <w:bookmarkStart w:id="29" w:name="_Toc146084297"/>
      <w:r w:rsidRPr="00763CEB">
        <w:rPr>
          <w:rFonts w:ascii="Arial" w:hAnsi="Arial" w:cs="Arial"/>
          <w:b/>
          <w:bCs/>
          <w:color w:val="auto"/>
          <w:sz w:val="24"/>
          <w:szCs w:val="24"/>
        </w:rPr>
        <w:t>4.4 Programme Four: Core Business</w:t>
      </w:r>
      <w:bookmarkEnd w:id="29"/>
    </w:p>
    <w:p w14:paraId="04F6A8AA" w14:textId="76AB8EEF" w:rsidR="000F6DF8" w:rsidRPr="00D70C89" w:rsidRDefault="000F6DF8" w:rsidP="000F6DF8">
      <w:pPr>
        <w:spacing w:line="360" w:lineRule="auto"/>
        <w:jc w:val="both"/>
        <w:rPr>
          <w:rFonts w:ascii="Arial" w:eastAsiaTheme="majorEastAsia" w:hAnsi="Arial" w:cs="Arial"/>
          <w:lang w:val="en-US"/>
        </w:rPr>
      </w:pPr>
      <w:r w:rsidRPr="00196D4F">
        <w:rPr>
          <w:rFonts w:ascii="Arial" w:eastAsiaTheme="majorEastAsia" w:hAnsi="Arial" w:cs="Arial"/>
          <w:lang w:val="en-US"/>
        </w:rPr>
        <w:t xml:space="preserve">Core Business is at the heart of the legislative business as it supports the work of Committees and the House. This programme is further divided into sub programme namely, Office of the Executive Director, Parliamentary Business, Information and Knowledge Management and Communications.  This programme coordinates the implementation of three strategic objectives. </w:t>
      </w:r>
      <w:r>
        <w:rPr>
          <w:rFonts w:ascii="Arial" w:eastAsiaTheme="majorEastAsia" w:hAnsi="Arial" w:cs="Arial"/>
          <w:lang w:val="en-US"/>
        </w:rPr>
        <w:t>Two targets that were not achieved are</w:t>
      </w:r>
      <w:r w:rsidRPr="009126BC">
        <w:rPr>
          <w:rFonts w:ascii="Arial" w:hAnsi="Arial" w:cs="Arial"/>
        </w:rPr>
        <w:t xml:space="preserve">, </w:t>
      </w:r>
      <w:r w:rsidRPr="00C94E9A">
        <w:rPr>
          <w:rFonts w:ascii="Arial" w:hAnsi="Arial" w:cs="Arial"/>
        </w:rPr>
        <w:t xml:space="preserve">the adoption of one Committee Inquiry report and the Communications Strategy and the PPP implementation plan. The Committee should be provided with reasons for not meeting these targets. </w:t>
      </w:r>
    </w:p>
    <w:p w14:paraId="05B14499" w14:textId="77777777" w:rsidR="000F6DF8" w:rsidRPr="00763CEB" w:rsidRDefault="000F6DF8" w:rsidP="000F6DF8">
      <w:pPr>
        <w:pStyle w:val="Heading2"/>
        <w:rPr>
          <w:rFonts w:ascii="Arial" w:hAnsi="Arial" w:cs="Arial"/>
          <w:b/>
          <w:bCs/>
          <w:sz w:val="24"/>
          <w:szCs w:val="24"/>
        </w:rPr>
      </w:pPr>
      <w:bookmarkStart w:id="30" w:name="_Toc146084298"/>
      <w:r w:rsidRPr="00763CEB">
        <w:rPr>
          <w:rFonts w:ascii="Arial" w:hAnsi="Arial" w:cs="Arial"/>
          <w:b/>
          <w:bCs/>
          <w:color w:val="auto"/>
          <w:sz w:val="24"/>
          <w:szCs w:val="24"/>
        </w:rPr>
        <w:t>4.4.1 Strategic Objective One: Improved Accountability by the Executive to the Legislature in respect of service delivery</w:t>
      </w:r>
      <w:bookmarkEnd w:id="30"/>
    </w:p>
    <w:p w14:paraId="7CA155F4" w14:textId="77777777" w:rsidR="000F6DF8" w:rsidRPr="0085646B" w:rsidRDefault="000F6DF8" w:rsidP="000F6DF8">
      <w:pPr>
        <w:spacing w:line="360" w:lineRule="auto"/>
        <w:rPr>
          <w:rFonts w:ascii="Arial" w:hAnsi="Arial" w:cs="Arial"/>
        </w:rPr>
      </w:pPr>
      <w:r w:rsidRPr="00196D4F">
        <w:rPr>
          <w:rFonts w:ascii="Arial" w:hAnsi="Arial" w:cs="Arial"/>
          <w:bCs/>
        </w:rPr>
        <w:t xml:space="preserve">The GPL through its committees processed </w:t>
      </w:r>
      <w:r w:rsidRPr="00C86556">
        <w:rPr>
          <w:rFonts w:ascii="Arial" w:hAnsi="Arial" w:cs="Arial"/>
        </w:rPr>
        <w:t>1</w:t>
      </w:r>
      <w:r>
        <w:rPr>
          <w:rFonts w:ascii="Arial" w:hAnsi="Arial" w:cs="Arial"/>
        </w:rPr>
        <w:t>5</w:t>
      </w:r>
      <w:r w:rsidRPr="00C86556">
        <w:rPr>
          <w:rFonts w:ascii="Arial" w:hAnsi="Arial" w:cs="Arial"/>
        </w:rPr>
        <w:t xml:space="preserve">9 oversight reports on the financial and non-financial performance of the provincial departments, comprising 64 quarterly, 43 annual, 49 budget, and </w:t>
      </w:r>
      <w:r>
        <w:rPr>
          <w:rFonts w:ascii="Arial" w:hAnsi="Arial" w:cs="Arial"/>
        </w:rPr>
        <w:t>21</w:t>
      </w:r>
      <w:r w:rsidRPr="00C86556">
        <w:rPr>
          <w:rFonts w:ascii="Arial" w:hAnsi="Arial" w:cs="Arial"/>
        </w:rPr>
        <w:t xml:space="preserve"> focused intervention study reports.</w:t>
      </w:r>
      <w:r>
        <w:rPr>
          <w:rFonts w:ascii="Arial" w:hAnsi="Arial" w:cs="Arial"/>
        </w:rPr>
        <w:t xml:space="preserve"> </w:t>
      </w:r>
      <w:r>
        <w:rPr>
          <w:rFonts w:ascii="Arial" w:hAnsi="Arial" w:cs="Arial"/>
          <w:bCs/>
        </w:rPr>
        <w:t>All</w:t>
      </w:r>
      <w:r w:rsidRPr="00196D4F">
        <w:rPr>
          <w:rFonts w:ascii="Arial" w:hAnsi="Arial" w:cs="Arial"/>
          <w:bCs/>
        </w:rPr>
        <w:t xml:space="preserve"> these reports were adopted and culminated in</w:t>
      </w:r>
      <w:r>
        <w:rPr>
          <w:rFonts w:ascii="Arial" w:hAnsi="Arial" w:cs="Arial"/>
          <w:bCs/>
        </w:rPr>
        <w:t xml:space="preserve"> 352 </w:t>
      </w:r>
      <w:r w:rsidRPr="00196D4F">
        <w:rPr>
          <w:rFonts w:ascii="Arial" w:hAnsi="Arial" w:cs="Arial"/>
          <w:bCs/>
        </w:rPr>
        <w:t>resolutions that communicated to the Executive for further processing</w:t>
      </w:r>
      <w:r>
        <w:rPr>
          <w:rFonts w:ascii="Arial" w:hAnsi="Arial" w:cs="Arial"/>
          <w:bCs/>
        </w:rPr>
        <w:t xml:space="preserve">.  In addition, a total of 5 </w:t>
      </w:r>
      <w:r w:rsidRPr="00196D4F">
        <w:rPr>
          <w:rFonts w:ascii="Arial" w:hAnsi="Arial" w:cs="Arial"/>
          <w:bCs/>
        </w:rPr>
        <w:t xml:space="preserve">Motions were passed by the House.    </w:t>
      </w:r>
    </w:p>
    <w:p w14:paraId="546B7091" w14:textId="77777777" w:rsidR="000F6DF8" w:rsidRPr="00196D4F" w:rsidRDefault="000F6DF8" w:rsidP="000F6DF8">
      <w:pPr>
        <w:spacing w:line="360" w:lineRule="auto"/>
        <w:jc w:val="both"/>
        <w:rPr>
          <w:rFonts w:ascii="Arial" w:hAnsi="Arial" w:cs="Arial"/>
          <w:bCs/>
        </w:rPr>
      </w:pPr>
      <w:r w:rsidRPr="00196D4F">
        <w:rPr>
          <w:rFonts w:ascii="Arial" w:hAnsi="Arial" w:cs="Arial"/>
          <w:bCs/>
        </w:rPr>
        <w:t xml:space="preserve"> </w:t>
      </w:r>
    </w:p>
    <w:p w14:paraId="38CA5F7D" w14:textId="77777777" w:rsidR="000F6DF8" w:rsidRPr="00763CEB" w:rsidRDefault="000F6DF8" w:rsidP="000F6DF8">
      <w:pPr>
        <w:pStyle w:val="Heading2"/>
        <w:rPr>
          <w:rFonts w:ascii="Arial" w:hAnsi="Arial" w:cs="Arial"/>
          <w:b/>
          <w:bCs/>
          <w:sz w:val="24"/>
          <w:szCs w:val="24"/>
        </w:rPr>
      </w:pPr>
      <w:bookmarkStart w:id="31" w:name="_Toc146084299"/>
      <w:r w:rsidRPr="00763CEB">
        <w:rPr>
          <w:rFonts w:ascii="Arial" w:hAnsi="Arial" w:cs="Arial"/>
          <w:b/>
          <w:bCs/>
          <w:color w:val="auto"/>
          <w:sz w:val="24"/>
          <w:szCs w:val="24"/>
        </w:rPr>
        <w:t>4.4.2 Strategic Objective Two: Improved responsiveness of laws to meet the needs of the people.</w:t>
      </w:r>
      <w:bookmarkEnd w:id="31"/>
    </w:p>
    <w:p w14:paraId="46BE1F11" w14:textId="77777777" w:rsidR="000F6DF8" w:rsidRPr="005E3A42" w:rsidRDefault="000F6DF8" w:rsidP="000F6DF8">
      <w:pPr>
        <w:autoSpaceDE w:val="0"/>
        <w:autoSpaceDN w:val="0"/>
        <w:adjustRightInd w:val="0"/>
        <w:spacing w:line="360" w:lineRule="auto"/>
        <w:jc w:val="both"/>
        <w:rPr>
          <w:rFonts w:ascii="Arial" w:hAnsi="Arial" w:cs="Arial"/>
          <w:color w:val="000000"/>
        </w:rPr>
      </w:pPr>
      <w:r w:rsidRPr="00C86556">
        <w:rPr>
          <w:rFonts w:ascii="Arial" w:hAnsi="Arial" w:cs="Arial"/>
        </w:rPr>
        <w:t xml:space="preserve">On the </w:t>
      </w:r>
      <w:r>
        <w:rPr>
          <w:rFonts w:ascii="Arial" w:hAnsi="Arial" w:cs="Arial"/>
        </w:rPr>
        <w:t xml:space="preserve">law-making front the GPL processed a laws, bills as well regulations during the period under review. </w:t>
      </w:r>
      <w:r w:rsidRPr="005E3A42">
        <w:rPr>
          <w:rFonts w:ascii="Arial" w:hAnsi="Arial" w:cs="Arial"/>
          <w:color w:val="000000"/>
        </w:rPr>
        <w:t>A total of five regulations, as listed below, were approved:</w:t>
      </w:r>
    </w:p>
    <w:p w14:paraId="06BAB528" w14:textId="77777777" w:rsidR="000F6DF8" w:rsidRPr="00763CEB" w:rsidRDefault="000F6DF8" w:rsidP="004D3329">
      <w:pPr>
        <w:pStyle w:val="ListParagraph"/>
        <w:numPr>
          <w:ilvl w:val="0"/>
          <w:numId w:val="14"/>
        </w:numPr>
        <w:autoSpaceDE w:val="0"/>
        <w:autoSpaceDN w:val="0"/>
        <w:adjustRightInd w:val="0"/>
        <w:spacing w:line="360" w:lineRule="auto"/>
        <w:jc w:val="both"/>
        <w:rPr>
          <w:rFonts w:ascii="Arial" w:hAnsi="Arial" w:cs="Arial"/>
          <w:color w:val="000000"/>
        </w:rPr>
      </w:pPr>
      <w:r w:rsidRPr="00763CEB">
        <w:rPr>
          <w:rFonts w:ascii="Arial" w:hAnsi="Arial" w:cs="Arial"/>
          <w:color w:val="000000"/>
        </w:rPr>
        <w:t>Gauteng Public Transport Regulatory Entity Amendment Regulation, 2022</w:t>
      </w:r>
    </w:p>
    <w:p w14:paraId="43C47B2D" w14:textId="77777777" w:rsidR="000F6DF8" w:rsidRPr="00763CEB" w:rsidRDefault="000F6DF8" w:rsidP="004D3329">
      <w:pPr>
        <w:pStyle w:val="ListParagraph"/>
        <w:numPr>
          <w:ilvl w:val="0"/>
          <w:numId w:val="14"/>
        </w:numPr>
        <w:autoSpaceDE w:val="0"/>
        <w:autoSpaceDN w:val="0"/>
        <w:adjustRightInd w:val="0"/>
        <w:spacing w:line="360" w:lineRule="auto"/>
        <w:jc w:val="both"/>
        <w:rPr>
          <w:rFonts w:ascii="Arial" w:hAnsi="Arial" w:cs="Arial"/>
          <w:color w:val="000000"/>
        </w:rPr>
      </w:pPr>
      <w:r w:rsidRPr="00763CEB">
        <w:rPr>
          <w:rFonts w:ascii="Arial" w:hAnsi="Arial" w:cs="Arial"/>
          <w:color w:val="000000"/>
        </w:rPr>
        <w:t>Revision of Uniform Patient Fee Schedule relating to Hospital Mortuary, 2022</w:t>
      </w:r>
    </w:p>
    <w:p w14:paraId="63B6374D" w14:textId="77777777" w:rsidR="000F6DF8" w:rsidRPr="005E3A42" w:rsidRDefault="000F6DF8" w:rsidP="004D3329">
      <w:pPr>
        <w:pStyle w:val="ListParagraph"/>
        <w:numPr>
          <w:ilvl w:val="0"/>
          <w:numId w:val="14"/>
        </w:numPr>
        <w:autoSpaceDE w:val="0"/>
        <w:autoSpaceDN w:val="0"/>
        <w:adjustRightInd w:val="0"/>
        <w:spacing w:line="360" w:lineRule="auto"/>
        <w:jc w:val="both"/>
      </w:pPr>
      <w:r w:rsidRPr="00763CEB">
        <w:rPr>
          <w:rFonts w:ascii="Arial" w:hAnsi="Arial" w:cs="Arial"/>
          <w:color w:val="000000"/>
        </w:rPr>
        <w:t>Revision of Uniform Patient Fee Schedule relating to Ambulances, 2022</w:t>
      </w:r>
    </w:p>
    <w:p w14:paraId="60746986" w14:textId="77777777" w:rsidR="000F6DF8" w:rsidRPr="00974DAD" w:rsidRDefault="000F6DF8" w:rsidP="004D3329">
      <w:pPr>
        <w:pStyle w:val="ListParagraph"/>
        <w:numPr>
          <w:ilvl w:val="0"/>
          <w:numId w:val="14"/>
        </w:numPr>
        <w:autoSpaceDE w:val="0"/>
        <w:autoSpaceDN w:val="0"/>
        <w:adjustRightInd w:val="0"/>
        <w:spacing w:line="360" w:lineRule="auto"/>
        <w:jc w:val="both"/>
      </w:pPr>
      <w:r w:rsidRPr="00763CEB">
        <w:rPr>
          <w:rFonts w:ascii="Arial" w:hAnsi="Arial" w:cs="Arial"/>
          <w:color w:val="000000"/>
        </w:rPr>
        <w:t>Revision of Uniform Patient Fee Schedule relating to Classification of and Fees</w:t>
      </w:r>
      <w:r>
        <w:rPr>
          <w:rFonts w:ascii="Arial" w:hAnsi="Arial" w:cs="Arial"/>
          <w:color w:val="000000"/>
        </w:rPr>
        <w:t xml:space="preserve"> </w:t>
      </w:r>
      <w:r w:rsidRPr="00763CEB">
        <w:rPr>
          <w:rFonts w:ascii="Arial" w:hAnsi="Arial" w:cs="Arial"/>
          <w:color w:val="000000"/>
        </w:rPr>
        <w:t>Payable by Patients at Provincial Hospitals, 2022</w:t>
      </w:r>
    </w:p>
    <w:p w14:paraId="6D0130BD" w14:textId="77777777" w:rsidR="000F6DF8" w:rsidRPr="00763CEB" w:rsidRDefault="000F6DF8" w:rsidP="004D3329">
      <w:pPr>
        <w:pStyle w:val="ListParagraph"/>
        <w:numPr>
          <w:ilvl w:val="0"/>
          <w:numId w:val="14"/>
        </w:numPr>
        <w:autoSpaceDE w:val="0"/>
        <w:autoSpaceDN w:val="0"/>
        <w:adjustRightInd w:val="0"/>
        <w:spacing w:line="360" w:lineRule="auto"/>
        <w:jc w:val="both"/>
        <w:rPr>
          <w:rFonts w:ascii="Arial" w:hAnsi="Arial" w:cs="Arial"/>
          <w:color w:val="000000"/>
        </w:rPr>
      </w:pPr>
      <w:r w:rsidRPr="00763CEB">
        <w:rPr>
          <w:rFonts w:ascii="Arial" w:hAnsi="Arial" w:cs="Arial"/>
          <w:color w:val="000000"/>
        </w:rPr>
        <w:t>Gauteng Gambling Amendment Regulation, 2023</w:t>
      </w:r>
    </w:p>
    <w:p w14:paraId="61B7B48D" w14:textId="77777777" w:rsidR="000F6DF8" w:rsidRPr="00763CEB" w:rsidRDefault="000F6DF8" w:rsidP="000F6DF8">
      <w:pPr>
        <w:autoSpaceDE w:val="0"/>
        <w:autoSpaceDN w:val="0"/>
        <w:adjustRightInd w:val="0"/>
        <w:spacing w:line="360" w:lineRule="auto"/>
        <w:jc w:val="both"/>
        <w:rPr>
          <w:rFonts w:ascii="Arial" w:hAnsi="Arial" w:cs="Arial"/>
          <w:color w:val="000000"/>
        </w:rPr>
      </w:pPr>
      <w:r w:rsidRPr="005E3A42">
        <w:rPr>
          <w:rFonts w:ascii="Arial" w:hAnsi="Arial" w:cs="Arial"/>
          <w:color w:val="000000"/>
        </w:rPr>
        <w:t>Furthermore, a total four (4) Bills that will be signed into law by the Premier of</w:t>
      </w:r>
      <w:r>
        <w:rPr>
          <w:rFonts w:ascii="Arial" w:hAnsi="Arial" w:cs="Arial"/>
          <w:color w:val="000000"/>
        </w:rPr>
        <w:t xml:space="preserve"> </w:t>
      </w:r>
      <w:r w:rsidRPr="00763CEB">
        <w:rPr>
          <w:rFonts w:ascii="Arial" w:hAnsi="Arial" w:cs="Arial"/>
          <w:color w:val="000000"/>
        </w:rPr>
        <w:t>Gauteng were adopted as listed below:</w:t>
      </w:r>
    </w:p>
    <w:p w14:paraId="5F9662A8" w14:textId="77777777" w:rsidR="000F6DF8" w:rsidRPr="00763CEB" w:rsidRDefault="000F6DF8" w:rsidP="004D3329">
      <w:pPr>
        <w:pStyle w:val="ListParagraph"/>
        <w:numPr>
          <w:ilvl w:val="0"/>
          <w:numId w:val="15"/>
        </w:numPr>
        <w:autoSpaceDE w:val="0"/>
        <w:autoSpaceDN w:val="0"/>
        <w:adjustRightInd w:val="0"/>
        <w:spacing w:line="360" w:lineRule="auto"/>
        <w:jc w:val="both"/>
        <w:rPr>
          <w:rFonts w:ascii="Arial" w:hAnsi="Arial" w:cs="Arial"/>
          <w:color w:val="000000"/>
        </w:rPr>
      </w:pPr>
      <w:r w:rsidRPr="00763CEB">
        <w:rPr>
          <w:rFonts w:ascii="Arial" w:hAnsi="Arial" w:cs="Arial"/>
          <w:color w:val="000000"/>
        </w:rPr>
        <w:t>Gauteng Provincial Appropriation Bill for the 2022/2023FY;</w:t>
      </w:r>
    </w:p>
    <w:p w14:paraId="2753B447" w14:textId="77777777" w:rsidR="000F6DF8" w:rsidRPr="00763CEB" w:rsidRDefault="000F6DF8" w:rsidP="004D3329">
      <w:pPr>
        <w:pStyle w:val="ListParagraph"/>
        <w:numPr>
          <w:ilvl w:val="0"/>
          <w:numId w:val="15"/>
        </w:numPr>
        <w:autoSpaceDE w:val="0"/>
        <w:autoSpaceDN w:val="0"/>
        <w:adjustRightInd w:val="0"/>
        <w:spacing w:line="360" w:lineRule="auto"/>
        <w:jc w:val="both"/>
        <w:rPr>
          <w:rFonts w:ascii="Arial" w:hAnsi="Arial" w:cs="Arial"/>
          <w:color w:val="000000"/>
        </w:rPr>
      </w:pPr>
      <w:r w:rsidRPr="00763CEB">
        <w:rPr>
          <w:rFonts w:ascii="Arial" w:hAnsi="Arial" w:cs="Arial"/>
          <w:color w:val="000000"/>
        </w:rPr>
        <w:t>Gauteng Provincial Unauthorised Expenditure Bill;</w:t>
      </w:r>
    </w:p>
    <w:p w14:paraId="5137DB30" w14:textId="77777777" w:rsidR="000F6DF8" w:rsidRPr="00763CEB" w:rsidRDefault="000F6DF8" w:rsidP="004D3329">
      <w:pPr>
        <w:pStyle w:val="ListParagraph"/>
        <w:numPr>
          <w:ilvl w:val="0"/>
          <w:numId w:val="15"/>
        </w:numPr>
        <w:autoSpaceDE w:val="0"/>
        <w:autoSpaceDN w:val="0"/>
        <w:adjustRightInd w:val="0"/>
        <w:spacing w:line="360" w:lineRule="auto"/>
        <w:jc w:val="both"/>
        <w:rPr>
          <w:rFonts w:ascii="Arial" w:hAnsi="Arial" w:cs="Arial"/>
          <w:color w:val="000000"/>
        </w:rPr>
      </w:pPr>
      <w:r w:rsidRPr="00763CEB">
        <w:rPr>
          <w:rFonts w:ascii="Arial" w:hAnsi="Arial" w:cs="Arial"/>
          <w:color w:val="000000"/>
        </w:rPr>
        <w:t>Gauteng Provincial Adjustment Appropriation Bill for the 2022/2023 FY; and</w:t>
      </w:r>
    </w:p>
    <w:p w14:paraId="66E0A0A5" w14:textId="77777777" w:rsidR="000F6DF8" w:rsidRPr="00763CEB" w:rsidRDefault="000F6DF8" w:rsidP="004D3329">
      <w:pPr>
        <w:pStyle w:val="ListParagraph"/>
        <w:numPr>
          <w:ilvl w:val="0"/>
          <w:numId w:val="15"/>
        </w:numPr>
        <w:autoSpaceDE w:val="0"/>
        <w:autoSpaceDN w:val="0"/>
        <w:adjustRightInd w:val="0"/>
        <w:spacing w:line="360" w:lineRule="auto"/>
        <w:jc w:val="both"/>
        <w:rPr>
          <w:rFonts w:ascii="Arial" w:hAnsi="Arial" w:cs="Arial"/>
          <w:color w:val="000000"/>
        </w:rPr>
      </w:pPr>
      <w:r w:rsidRPr="00763CEB">
        <w:rPr>
          <w:rFonts w:ascii="Arial" w:hAnsi="Arial" w:cs="Arial"/>
          <w:color w:val="000000"/>
        </w:rPr>
        <w:t>Gauteng Provincial Second Adjustment Appropriation Bill for the 2022/2023 FY.</w:t>
      </w:r>
    </w:p>
    <w:p w14:paraId="527FBC79" w14:textId="77777777" w:rsidR="000F6DF8" w:rsidRDefault="000F6DF8" w:rsidP="000F6DF8">
      <w:pPr>
        <w:autoSpaceDE w:val="0"/>
        <w:autoSpaceDN w:val="0"/>
        <w:adjustRightInd w:val="0"/>
        <w:spacing w:line="360" w:lineRule="auto"/>
        <w:jc w:val="both"/>
        <w:rPr>
          <w:rFonts w:ascii="Arial" w:hAnsi="Arial" w:cs="Arial"/>
          <w:color w:val="000000"/>
        </w:rPr>
      </w:pPr>
    </w:p>
    <w:p w14:paraId="096E4254" w14:textId="77777777" w:rsidR="000F6DF8" w:rsidRPr="005E3A42" w:rsidRDefault="000F6DF8" w:rsidP="000F6DF8">
      <w:pPr>
        <w:autoSpaceDE w:val="0"/>
        <w:autoSpaceDN w:val="0"/>
        <w:adjustRightInd w:val="0"/>
        <w:spacing w:line="360" w:lineRule="auto"/>
        <w:jc w:val="both"/>
        <w:rPr>
          <w:rFonts w:ascii="Arial" w:hAnsi="Arial" w:cs="Arial"/>
          <w:color w:val="000000" w:themeColor="text1"/>
        </w:rPr>
      </w:pPr>
      <w:r w:rsidRPr="005E3A42">
        <w:rPr>
          <w:rFonts w:ascii="Arial" w:hAnsi="Arial" w:cs="Arial"/>
          <w:color w:val="000000"/>
        </w:rPr>
        <w:t>The third aspect of discharging the law-making mandate to ensure laws meet the</w:t>
      </w:r>
      <w:r>
        <w:rPr>
          <w:rFonts w:ascii="Arial" w:hAnsi="Arial" w:cs="Arial"/>
          <w:color w:val="000000"/>
        </w:rPr>
        <w:t xml:space="preserve"> </w:t>
      </w:r>
      <w:r w:rsidRPr="005E3A42">
        <w:rPr>
          <w:rFonts w:ascii="Arial" w:hAnsi="Arial" w:cs="Arial"/>
          <w:color w:val="000000"/>
        </w:rPr>
        <w:t>needs of the people of Gauteng is the processing of Bills from the National Council</w:t>
      </w:r>
      <w:r>
        <w:rPr>
          <w:rFonts w:ascii="Arial" w:hAnsi="Arial" w:cs="Arial"/>
          <w:color w:val="000000"/>
        </w:rPr>
        <w:t xml:space="preserve"> </w:t>
      </w:r>
      <w:r w:rsidRPr="005E3A42">
        <w:rPr>
          <w:rFonts w:ascii="Arial" w:hAnsi="Arial" w:cs="Arial"/>
          <w:color w:val="000000"/>
        </w:rPr>
        <w:t>of Provinces, private Members and the Executive. The legislature actively participates</w:t>
      </w:r>
      <w:r>
        <w:rPr>
          <w:rFonts w:ascii="Arial" w:hAnsi="Arial" w:cs="Arial"/>
          <w:color w:val="000000"/>
        </w:rPr>
        <w:t xml:space="preserve"> </w:t>
      </w:r>
      <w:r w:rsidRPr="005E3A42">
        <w:rPr>
          <w:rFonts w:ascii="Arial" w:hAnsi="Arial" w:cs="Arial"/>
          <w:color w:val="000000"/>
        </w:rPr>
        <w:t>in the National Council of Provinces (NCOP) to ensure that all the Bills passed by the</w:t>
      </w:r>
      <w:r>
        <w:rPr>
          <w:rFonts w:ascii="Arial" w:hAnsi="Arial" w:cs="Arial"/>
          <w:color w:val="000000"/>
        </w:rPr>
        <w:t xml:space="preserve"> </w:t>
      </w:r>
      <w:r w:rsidRPr="005E3A42">
        <w:rPr>
          <w:rFonts w:ascii="Arial" w:hAnsi="Arial" w:cs="Arial"/>
          <w:color w:val="000000"/>
        </w:rPr>
        <w:t>National Parliament represent the interests and needs of the people of Gauteng.</w:t>
      </w:r>
      <w:r>
        <w:rPr>
          <w:rFonts w:ascii="Arial" w:hAnsi="Arial" w:cs="Arial"/>
          <w:color w:val="000000" w:themeColor="text1"/>
        </w:rPr>
        <w:t xml:space="preserve"> </w:t>
      </w:r>
      <w:r w:rsidRPr="005E3A42">
        <w:rPr>
          <w:rFonts w:ascii="Arial" w:hAnsi="Arial" w:cs="Arial"/>
          <w:color w:val="000000" w:themeColor="text1"/>
        </w:rPr>
        <w:t>To this end, the committees considered a total of 27</w:t>
      </w:r>
      <w:r>
        <w:rPr>
          <w:rFonts w:ascii="Arial" w:hAnsi="Arial" w:cs="Arial"/>
          <w:color w:val="000000" w:themeColor="text1"/>
        </w:rPr>
        <w:t xml:space="preserve"> </w:t>
      </w:r>
      <w:r w:rsidRPr="005E3A42">
        <w:rPr>
          <w:rFonts w:ascii="Arial" w:hAnsi="Arial" w:cs="Arial"/>
          <w:color w:val="000000" w:themeColor="text1"/>
        </w:rPr>
        <w:t>Bills, comprising 17 Section 76, three Section 77 and</w:t>
      </w:r>
      <w:r>
        <w:rPr>
          <w:rFonts w:ascii="Arial" w:hAnsi="Arial" w:cs="Arial"/>
          <w:color w:val="000000" w:themeColor="text1"/>
        </w:rPr>
        <w:t xml:space="preserve"> </w:t>
      </w:r>
      <w:r w:rsidRPr="005E3A42">
        <w:rPr>
          <w:rFonts w:ascii="Arial" w:hAnsi="Arial" w:cs="Arial"/>
          <w:color w:val="000000" w:themeColor="text1"/>
        </w:rPr>
        <w:t>seven Provincial Bills.</w:t>
      </w:r>
    </w:p>
    <w:p w14:paraId="65F35838" w14:textId="77777777" w:rsidR="000F6DF8" w:rsidRDefault="000F6DF8" w:rsidP="000F6DF8">
      <w:pPr>
        <w:autoSpaceDE w:val="0"/>
        <w:autoSpaceDN w:val="0"/>
        <w:adjustRightInd w:val="0"/>
        <w:spacing w:line="360" w:lineRule="auto"/>
        <w:jc w:val="both"/>
        <w:rPr>
          <w:rFonts w:ascii="Arial" w:hAnsi="Arial" w:cs="Arial"/>
        </w:rPr>
      </w:pPr>
    </w:p>
    <w:p w14:paraId="438C5607" w14:textId="77777777" w:rsidR="000F6DF8" w:rsidRDefault="000F6DF8" w:rsidP="000F6DF8">
      <w:pPr>
        <w:spacing w:line="360" w:lineRule="auto"/>
        <w:jc w:val="both"/>
        <w:rPr>
          <w:rFonts w:ascii="Arial" w:eastAsiaTheme="minorEastAsia" w:hAnsi="Arial" w:cs="Arial"/>
          <w:bCs/>
        </w:rPr>
      </w:pPr>
      <w:r>
        <w:rPr>
          <w:rFonts w:ascii="Arial" w:hAnsi="Arial" w:cs="Arial"/>
        </w:rPr>
        <w:t xml:space="preserve">In terms of targets under public participation, a total of 107 public education workshops were undertaken throughout the province as part of profiling the work of the House and the Committees. </w:t>
      </w:r>
      <w:r>
        <w:rPr>
          <w:rFonts w:ascii="Arial" w:eastAsiaTheme="minorEastAsia" w:hAnsi="Arial" w:cs="Arial"/>
          <w:bCs/>
        </w:rPr>
        <w:t xml:space="preserve">Preparatory workshops with identified stakeholders of the Childrens, Youth and Women’s sectoral parliaments. An economic seminar was also held as part of stakeholder engagement. </w:t>
      </w:r>
    </w:p>
    <w:p w14:paraId="79CD23C8" w14:textId="77777777" w:rsidR="000F6DF8" w:rsidRPr="00C86556" w:rsidRDefault="000F6DF8" w:rsidP="000F6DF8">
      <w:pPr>
        <w:spacing w:after="200" w:line="360" w:lineRule="auto"/>
        <w:contextualSpacing/>
        <w:jc w:val="both"/>
        <w:rPr>
          <w:rFonts w:ascii="Arial" w:hAnsi="Arial" w:cs="Arial"/>
        </w:rPr>
      </w:pPr>
      <w:r>
        <w:rPr>
          <w:rFonts w:ascii="Arial" w:eastAsiaTheme="minorEastAsia" w:hAnsi="Arial" w:cs="Arial"/>
          <w:bCs/>
        </w:rPr>
        <w:t>Both social and traditional media was used to promote the work done by the GPL and its Committees. Virtual and face to face interactions were intensified during the period under review as a result of lifting of the state of disaster during the period under review. This was to ensure that the people of the province participated in the business of the legislature.</w:t>
      </w:r>
      <w:r w:rsidRPr="00196D4F">
        <w:rPr>
          <w:rFonts w:ascii="Arial" w:eastAsia="Calibri" w:hAnsi="Arial" w:cs="Arial"/>
          <w:bCs/>
          <w:lang w:val="en-US"/>
        </w:rPr>
        <w:t xml:space="preserve"> The Gauteng Petitions Act requires that the GPL provide</w:t>
      </w:r>
      <w:r>
        <w:rPr>
          <w:rFonts w:ascii="Arial" w:eastAsia="Calibri" w:hAnsi="Arial" w:cs="Arial"/>
          <w:bCs/>
          <w:lang w:val="en-US"/>
        </w:rPr>
        <w:t>s</w:t>
      </w:r>
      <w:r w:rsidRPr="00196D4F">
        <w:rPr>
          <w:rFonts w:ascii="Arial" w:eastAsia="Calibri" w:hAnsi="Arial" w:cs="Arial"/>
          <w:bCs/>
          <w:lang w:val="en-US"/>
        </w:rPr>
        <w:t xml:space="preserve"> a platform for the people of the province to submit their petitions to the legislature. </w:t>
      </w:r>
      <w:r w:rsidRPr="00C86556">
        <w:rPr>
          <w:rFonts w:ascii="Arial" w:hAnsi="Arial" w:cs="Arial"/>
        </w:rPr>
        <w:t>In the period u</w:t>
      </w:r>
      <w:r>
        <w:rPr>
          <w:rFonts w:ascii="Arial" w:hAnsi="Arial" w:cs="Arial"/>
        </w:rPr>
        <w:t xml:space="preserve">nder review, a total of 128 </w:t>
      </w:r>
      <w:r w:rsidRPr="00C86556">
        <w:rPr>
          <w:rFonts w:ascii="Arial" w:hAnsi="Arial" w:cs="Arial"/>
        </w:rPr>
        <w:t xml:space="preserve">petitions were tabled before the PSC for consideration. Of these, </w:t>
      </w:r>
      <w:r>
        <w:rPr>
          <w:rFonts w:ascii="Arial" w:hAnsi="Arial" w:cs="Arial"/>
        </w:rPr>
        <w:t xml:space="preserve">117 </w:t>
      </w:r>
      <w:r w:rsidRPr="00C86556">
        <w:rPr>
          <w:rFonts w:ascii="Arial" w:hAnsi="Arial" w:cs="Arial"/>
        </w:rPr>
        <w:t xml:space="preserve">petitions were adopted, </w:t>
      </w:r>
      <w:r>
        <w:rPr>
          <w:rFonts w:ascii="Arial" w:hAnsi="Arial" w:cs="Arial"/>
        </w:rPr>
        <w:t xml:space="preserve">9 </w:t>
      </w:r>
      <w:r w:rsidRPr="00C86556">
        <w:rPr>
          <w:rFonts w:ascii="Arial" w:hAnsi="Arial" w:cs="Arial"/>
        </w:rPr>
        <w:t xml:space="preserve">were not adopted, </w:t>
      </w:r>
      <w:r>
        <w:rPr>
          <w:rFonts w:ascii="Arial" w:hAnsi="Arial" w:cs="Arial"/>
        </w:rPr>
        <w:t>2</w:t>
      </w:r>
      <w:r w:rsidRPr="00C86556">
        <w:rPr>
          <w:rFonts w:ascii="Arial" w:hAnsi="Arial" w:cs="Arial"/>
        </w:rPr>
        <w:t xml:space="preserve"> were deferred</w:t>
      </w:r>
      <w:r>
        <w:rPr>
          <w:rFonts w:ascii="Arial" w:hAnsi="Arial" w:cs="Arial"/>
        </w:rPr>
        <w:t xml:space="preserve">. </w:t>
      </w:r>
    </w:p>
    <w:p w14:paraId="4DE2964F" w14:textId="77777777" w:rsidR="000F6DF8" w:rsidRDefault="000F6DF8" w:rsidP="000F6DF8">
      <w:pPr>
        <w:spacing w:after="200" w:line="360" w:lineRule="auto"/>
        <w:contextualSpacing/>
        <w:jc w:val="both"/>
        <w:rPr>
          <w:rFonts w:ascii="Arial" w:eastAsia="Calibri" w:hAnsi="Arial" w:cs="Arial"/>
          <w:bCs/>
          <w:lang w:val="en-US"/>
        </w:rPr>
      </w:pPr>
    </w:p>
    <w:p w14:paraId="08AD28D9" w14:textId="77777777" w:rsidR="000F6DF8" w:rsidRPr="00196D4F" w:rsidRDefault="000F6DF8" w:rsidP="000F6DF8">
      <w:pPr>
        <w:spacing w:after="200" w:line="360" w:lineRule="auto"/>
        <w:contextualSpacing/>
        <w:jc w:val="both"/>
        <w:rPr>
          <w:rFonts w:ascii="Arial" w:hAnsi="Arial" w:cs="Arial"/>
          <w:b/>
          <w:bCs/>
        </w:rPr>
      </w:pPr>
      <w:r w:rsidRPr="00196D4F">
        <w:rPr>
          <w:rFonts w:ascii="Arial" w:eastAsia="Calibri" w:hAnsi="Arial" w:cs="Arial"/>
          <w:bCs/>
          <w:lang w:val="en-US"/>
        </w:rPr>
        <w:t>Sectoral parliaments remain a tool that the GPL uses to enhance it public participation by involving specific targeted groups. For t</w:t>
      </w:r>
      <w:r>
        <w:rPr>
          <w:rFonts w:ascii="Arial" w:eastAsia="Calibri" w:hAnsi="Arial" w:cs="Arial"/>
          <w:bCs/>
          <w:lang w:val="en-US"/>
        </w:rPr>
        <w:t xml:space="preserve">he period under review a total 5 </w:t>
      </w:r>
      <w:r w:rsidRPr="00196D4F">
        <w:rPr>
          <w:rFonts w:ascii="Arial" w:eastAsia="Calibri" w:hAnsi="Arial" w:cs="Arial"/>
          <w:bCs/>
          <w:lang w:val="en-US"/>
        </w:rPr>
        <w:t>sectoral pa</w:t>
      </w:r>
      <w:r>
        <w:rPr>
          <w:rFonts w:ascii="Arial" w:eastAsia="Calibri" w:hAnsi="Arial" w:cs="Arial"/>
          <w:bCs/>
          <w:lang w:val="en-US"/>
        </w:rPr>
        <w:t>rliaments i.e. Interfaith</w:t>
      </w:r>
      <w:r w:rsidRPr="00196D4F">
        <w:rPr>
          <w:rFonts w:ascii="Arial" w:eastAsia="Calibri" w:hAnsi="Arial" w:cs="Arial"/>
          <w:bCs/>
          <w:lang w:val="en-US"/>
        </w:rPr>
        <w:t>, Women’s,</w:t>
      </w:r>
      <w:r>
        <w:rPr>
          <w:rFonts w:ascii="Arial" w:eastAsia="Calibri" w:hAnsi="Arial" w:cs="Arial"/>
          <w:bCs/>
          <w:lang w:val="en-US"/>
        </w:rPr>
        <w:t xml:space="preserve"> Youth, Senior citizens as well as Childrens.  </w:t>
      </w:r>
      <w:r w:rsidRPr="00196D4F">
        <w:rPr>
          <w:rFonts w:ascii="Arial" w:eastAsia="Calibri" w:hAnsi="Arial" w:cs="Arial"/>
          <w:bCs/>
          <w:lang w:val="en-US"/>
        </w:rPr>
        <w:t xml:space="preserve">  </w:t>
      </w:r>
    </w:p>
    <w:p w14:paraId="7604BFA1" w14:textId="77777777" w:rsidR="000F6DF8" w:rsidRPr="00763CEB" w:rsidRDefault="000F6DF8" w:rsidP="000F6DF8">
      <w:pPr>
        <w:pStyle w:val="Heading1"/>
        <w:rPr>
          <w:rFonts w:ascii="Arial" w:hAnsi="Arial" w:cs="Arial"/>
          <w:b/>
          <w:bCs/>
          <w:sz w:val="24"/>
          <w:szCs w:val="24"/>
        </w:rPr>
      </w:pPr>
      <w:bookmarkStart w:id="32" w:name="_Toc146084300"/>
      <w:r w:rsidRPr="00763CEB">
        <w:rPr>
          <w:rFonts w:ascii="Arial" w:hAnsi="Arial" w:cs="Arial"/>
          <w:b/>
          <w:bCs/>
          <w:color w:val="auto"/>
          <w:sz w:val="24"/>
          <w:szCs w:val="24"/>
        </w:rPr>
        <w:t>4.5 Programme Five: Chief Financial Officer</w:t>
      </w:r>
      <w:bookmarkEnd w:id="32"/>
    </w:p>
    <w:p w14:paraId="2F388989" w14:textId="77777777" w:rsidR="000F6DF8" w:rsidRPr="00196D4F" w:rsidRDefault="000F6DF8" w:rsidP="000F6DF8">
      <w:pPr>
        <w:spacing w:line="360" w:lineRule="auto"/>
        <w:jc w:val="both"/>
        <w:rPr>
          <w:rFonts w:ascii="Arial" w:eastAsiaTheme="majorEastAsia" w:hAnsi="Arial" w:cs="Arial"/>
        </w:rPr>
      </w:pPr>
      <w:r w:rsidRPr="00196D4F">
        <w:rPr>
          <w:rFonts w:ascii="Arial" w:eastAsiaTheme="majorEastAsia" w:hAnsi="Arial" w:cs="Arial"/>
        </w:rPr>
        <w:t xml:space="preserve">The Office of the Chief Financial Officer is responsible for the provision of financial, risk and supply chain services to the GPL. This programme must ensure that the institutional strategic goals are achieved whilst ensuring that the institution gets an unqualified audit.  This sub programme is further sub divided into the following sub programmes, namely, Financial Management, Supply Chain and Risk Management. This programme coordinates the implementation of strategic objective five. </w:t>
      </w:r>
    </w:p>
    <w:p w14:paraId="270124F6" w14:textId="77777777" w:rsidR="000F6DF8" w:rsidRPr="00196D4F" w:rsidRDefault="000F6DF8" w:rsidP="000F6DF8">
      <w:pPr>
        <w:spacing w:line="360" w:lineRule="auto"/>
        <w:jc w:val="both"/>
        <w:rPr>
          <w:rFonts w:ascii="Arial" w:hAnsi="Arial" w:cs="Arial"/>
          <w:b/>
          <w:bCs/>
        </w:rPr>
      </w:pPr>
    </w:p>
    <w:p w14:paraId="71F3C330" w14:textId="77777777" w:rsidR="000F6DF8" w:rsidRPr="00763CEB" w:rsidRDefault="000F6DF8" w:rsidP="000F6DF8">
      <w:pPr>
        <w:pStyle w:val="Heading2"/>
        <w:rPr>
          <w:rFonts w:ascii="Arial" w:hAnsi="Arial" w:cs="Arial"/>
          <w:b/>
          <w:bCs/>
          <w:sz w:val="24"/>
          <w:szCs w:val="24"/>
        </w:rPr>
      </w:pPr>
      <w:bookmarkStart w:id="33" w:name="_Toc146084301"/>
      <w:r w:rsidRPr="00763CEB">
        <w:rPr>
          <w:rFonts w:ascii="Arial" w:hAnsi="Arial" w:cs="Arial"/>
          <w:b/>
          <w:bCs/>
          <w:color w:val="auto"/>
          <w:sz w:val="24"/>
          <w:szCs w:val="24"/>
        </w:rPr>
        <w:t>4.5.1 Strategic Objective Five: Enhanced compliance with all relevant fiduciary requirements and principles of good governance.</w:t>
      </w:r>
      <w:bookmarkEnd w:id="33"/>
    </w:p>
    <w:p w14:paraId="2F93EFC4" w14:textId="68CD7AD0" w:rsidR="000F6DF8" w:rsidRDefault="000F6DF8" w:rsidP="000F6DF8">
      <w:pPr>
        <w:spacing w:line="360" w:lineRule="auto"/>
        <w:jc w:val="both"/>
        <w:rPr>
          <w:rFonts w:ascii="Arial" w:eastAsia="Calibri" w:hAnsi="Arial" w:cs="Arial"/>
        </w:rPr>
      </w:pPr>
      <w:r w:rsidRPr="00196D4F">
        <w:rPr>
          <w:rFonts w:ascii="Arial" w:hAnsi="Arial" w:cs="Arial"/>
          <w:bCs/>
        </w:rPr>
        <w:t xml:space="preserve">Through this strategic objective the GPL intends to achieve and maintain a </w:t>
      </w:r>
      <w:r>
        <w:rPr>
          <w:rFonts w:ascii="Arial" w:hAnsi="Arial" w:cs="Arial"/>
          <w:bCs/>
        </w:rPr>
        <w:t>C</w:t>
      </w:r>
      <w:r w:rsidRPr="00196D4F">
        <w:rPr>
          <w:rFonts w:ascii="Arial" w:hAnsi="Arial" w:cs="Arial"/>
          <w:bCs/>
        </w:rPr>
        <w:t xml:space="preserve">lean </w:t>
      </w:r>
      <w:r>
        <w:rPr>
          <w:rFonts w:ascii="Arial" w:hAnsi="Arial" w:cs="Arial"/>
          <w:bCs/>
        </w:rPr>
        <w:t>A</w:t>
      </w:r>
      <w:r w:rsidRPr="00196D4F">
        <w:rPr>
          <w:rFonts w:ascii="Arial" w:hAnsi="Arial" w:cs="Arial"/>
          <w:bCs/>
        </w:rPr>
        <w:t xml:space="preserve">udit. </w:t>
      </w:r>
      <w:r w:rsidRPr="00196D4F">
        <w:rPr>
          <w:rFonts w:ascii="Arial" w:eastAsia="Calibri" w:hAnsi="Arial" w:cs="Arial"/>
        </w:rPr>
        <w:t>For the period u</w:t>
      </w:r>
      <w:r>
        <w:rPr>
          <w:rFonts w:ascii="Arial" w:eastAsia="Calibri" w:hAnsi="Arial" w:cs="Arial"/>
        </w:rPr>
        <w:t xml:space="preserve">nder review the GPL received a clean audit which is a third year in succession.  </w:t>
      </w:r>
      <w:r>
        <w:rPr>
          <w:rFonts w:ascii="Arial" w:eastAsiaTheme="minorEastAsia" w:hAnsi="Arial" w:cs="Arial"/>
          <w:bCs/>
          <w:color w:val="222222"/>
          <w:shd w:val="clear" w:color="auto" w:fill="FFFFFF"/>
        </w:rPr>
        <w:t xml:space="preserve"> </w:t>
      </w:r>
      <w:r w:rsidRPr="00196D4F">
        <w:rPr>
          <w:rFonts w:ascii="Arial" w:eastAsia="Calibri" w:hAnsi="Arial" w:cs="Arial"/>
        </w:rPr>
        <w:t xml:space="preserve">This is the programme that is responsible for ensuring that the institution adheres to prudent financial management, and this was done during the period under review.  This programme achieved </w:t>
      </w:r>
      <w:r w:rsidR="004D3329">
        <w:rPr>
          <w:rFonts w:ascii="Arial" w:eastAsia="Calibri" w:hAnsi="Arial" w:cs="Arial"/>
        </w:rPr>
        <w:t xml:space="preserve">99% </w:t>
      </w:r>
      <w:r w:rsidRPr="00196D4F">
        <w:rPr>
          <w:rFonts w:ascii="Arial" w:eastAsia="Calibri" w:hAnsi="Arial" w:cs="Arial"/>
        </w:rPr>
        <w:t>of the targets contained in the APP.  For the period under review the GPL processed and effected monthly payments with no incidents of inaccuracies. All claims were paid within the stipulated timeframes. Furthermore, all suppliers were paid within 30 days of receipts of invoice.</w:t>
      </w:r>
    </w:p>
    <w:p w14:paraId="324FE2BB" w14:textId="38C1DFEF" w:rsidR="004D3329" w:rsidRPr="00196D4F" w:rsidRDefault="004D3329" w:rsidP="000F6DF8">
      <w:pPr>
        <w:spacing w:line="360" w:lineRule="auto"/>
        <w:jc w:val="both"/>
        <w:rPr>
          <w:rFonts w:ascii="Arial" w:eastAsia="Calibri" w:hAnsi="Arial" w:cs="Arial"/>
        </w:rPr>
      </w:pPr>
    </w:p>
    <w:p w14:paraId="5961F843" w14:textId="77777777" w:rsidR="000F6DF8" w:rsidRPr="00196D4F" w:rsidRDefault="000F6DF8" w:rsidP="000F6DF8">
      <w:pPr>
        <w:spacing w:line="360" w:lineRule="auto"/>
        <w:jc w:val="both"/>
        <w:rPr>
          <w:rFonts w:ascii="Arial" w:eastAsia="Calibri" w:hAnsi="Arial" w:cs="Arial"/>
        </w:rPr>
      </w:pPr>
      <w:r w:rsidRPr="00196D4F">
        <w:rPr>
          <w:rFonts w:ascii="Arial" w:eastAsia="Calibri" w:hAnsi="Arial" w:cs="Arial"/>
        </w:rPr>
        <w:t>The GPL produced monthly, quarterly and biannual financial reports in line with agreed timelines. Annual financial statements were completed timeously,</w:t>
      </w:r>
      <w:r w:rsidRPr="00196D4F">
        <w:rPr>
          <w:rFonts w:ascii="Arial" w:eastAsia="Calibri" w:hAnsi="Arial" w:cs="Arial"/>
          <w:b/>
        </w:rPr>
        <w:t xml:space="preserve"> </w:t>
      </w:r>
      <w:r w:rsidRPr="00196D4F">
        <w:rPr>
          <w:rFonts w:ascii="Arial" w:eastAsia="Calibri" w:hAnsi="Arial" w:cs="Arial"/>
        </w:rPr>
        <w:t>and the GPL 2019/20 budget was compiled in line with FMPLA. Furthermore, there was efficient procurement of goods and services in the most economical manner that aligns with preferential procurement targets. In line with meeting the BBBEEE targets, for the period under review the GPL</w:t>
      </w:r>
      <w:r>
        <w:rPr>
          <w:rFonts w:ascii="Arial" w:eastAsia="Calibri" w:hAnsi="Arial" w:cs="Arial"/>
        </w:rPr>
        <w:t xml:space="preserve"> did not achieve </w:t>
      </w:r>
      <w:r w:rsidRPr="00196D4F">
        <w:rPr>
          <w:rFonts w:ascii="Arial" w:eastAsia="Calibri" w:hAnsi="Arial" w:cs="Arial"/>
        </w:rPr>
        <w:t>two</w:t>
      </w:r>
      <w:r>
        <w:rPr>
          <w:rFonts w:ascii="Arial" w:eastAsia="Calibri" w:hAnsi="Arial" w:cs="Arial"/>
        </w:rPr>
        <w:t xml:space="preserve"> critical targets on women and youth</w:t>
      </w:r>
      <w:r w:rsidRPr="00196D4F">
        <w:rPr>
          <w:rFonts w:ascii="Arial" w:eastAsia="Calibri" w:hAnsi="Arial" w:cs="Arial"/>
        </w:rPr>
        <w:t>. These were in respect to doing business with the following service providers:</w:t>
      </w:r>
    </w:p>
    <w:p w14:paraId="1E7DF5D0" w14:textId="77777777" w:rsidR="000F6DF8" w:rsidRPr="00763CEB" w:rsidRDefault="000F6DF8" w:rsidP="004D3329">
      <w:pPr>
        <w:numPr>
          <w:ilvl w:val="0"/>
          <w:numId w:val="8"/>
        </w:numPr>
        <w:spacing w:after="200" w:line="360" w:lineRule="auto"/>
        <w:contextualSpacing/>
        <w:jc w:val="both"/>
        <w:rPr>
          <w:rFonts w:ascii="Arial" w:eastAsia="Calibri" w:hAnsi="Arial" w:cs="Arial"/>
          <w:bCs/>
        </w:rPr>
      </w:pPr>
      <w:r w:rsidRPr="00974DAD">
        <w:rPr>
          <w:rFonts w:ascii="Arial" w:eastAsia="Calibri" w:hAnsi="Arial" w:cs="Arial"/>
          <w:b/>
        </w:rPr>
        <w:t>HDI</w:t>
      </w:r>
      <w:r w:rsidRPr="00763CEB">
        <w:rPr>
          <w:rFonts w:ascii="Arial" w:eastAsia="Calibri" w:hAnsi="Arial" w:cs="Arial"/>
          <w:bCs/>
        </w:rPr>
        <w:t xml:space="preserve">-63.01% against a 60% target </w:t>
      </w:r>
    </w:p>
    <w:p w14:paraId="614BED60" w14:textId="77777777" w:rsidR="000F6DF8" w:rsidRPr="00763CEB" w:rsidRDefault="000F6DF8" w:rsidP="004D3329">
      <w:pPr>
        <w:numPr>
          <w:ilvl w:val="0"/>
          <w:numId w:val="8"/>
        </w:numPr>
        <w:spacing w:after="200" w:line="360" w:lineRule="auto"/>
        <w:contextualSpacing/>
        <w:jc w:val="both"/>
        <w:rPr>
          <w:rFonts w:ascii="Arial" w:eastAsia="Calibri" w:hAnsi="Arial" w:cs="Arial"/>
          <w:bCs/>
        </w:rPr>
      </w:pPr>
      <w:r w:rsidRPr="00974DAD">
        <w:rPr>
          <w:rFonts w:ascii="Arial" w:eastAsia="Calibri" w:hAnsi="Arial" w:cs="Arial"/>
          <w:b/>
        </w:rPr>
        <w:t>Wome</w:t>
      </w:r>
      <w:r w:rsidRPr="00763CEB">
        <w:rPr>
          <w:rFonts w:ascii="Arial" w:eastAsia="Calibri" w:hAnsi="Arial" w:cs="Arial"/>
          <w:bCs/>
        </w:rPr>
        <w:t>n-29.7 against 30% target</w:t>
      </w:r>
    </w:p>
    <w:p w14:paraId="38DE5A49" w14:textId="77777777" w:rsidR="000F6DF8" w:rsidRPr="00763CEB" w:rsidRDefault="000F6DF8" w:rsidP="004D3329">
      <w:pPr>
        <w:numPr>
          <w:ilvl w:val="0"/>
          <w:numId w:val="8"/>
        </w:numPr>
        <w:spacing w:after="200" w:line="360" w:lineRule="auto"/>
        <w:contextualSpacing/>
        <w:jc w:val="both"/>
        <w:rPr>
          <w:rFonts w:ascii="Arial" w:eastAsia="Calibri" w:hAnsi="Arial" w:cs="Arial"/>
          <w:bCs/>
        </w:rPr>
      </w:pPr>
      <w:r w:rsidRPr="00974DAD">
        <w:rPr>
          <w:rFonts w:ascii="Arial" w:eastAsia="Calibri" w:hAnsi="Arial" w:cs="Arial"/>
          <w:b/>
        </w:rPr>
        <w:t>Youth</w:t>
      </w:r>
      <w:r w:rsidRPr="00763CEB">
        <w:rPr>
          <w:rFonts w:ascii="Arial" w:eastAsia="Calibri" w:hAnsi="Arial" w:cs="Arial"/>
          <w:bCs/>
        </w:rPr>
        <w:t>-9.4 against 10% target</w:t>
      </w:r>
    </w:p>
    <w:p w14:paraId="453A7743" w14:textId="77777777" w:rsidR="000F6DF8" w:rsidRPr="00763CEB" w:rsidRDefault="000F6DF8" w:rsidP="004D3329">
      <w:pPr>
        <w:numPr>
          <w:ilvl w:val="0"/>
          <w:numId w:val="8"/>
        </w:numPr>
        <w:spacing w:after="200" w:line="360" w:lineRule="auto"/>
        <w:contextualSpacing/>
        <w:jc w:val="both"/>
        <w:rPr>
          <w:rFonts w:ascii="Arial" w:eastAsia="Calibri" w:hAnsi="Arial" w:cs="Arial"/>
          <w:bCs/>
        </w:rPr>
      </w:pPr>
      <w:r w:rsidRPr="00974DAD">
        <w:rPr>
          <w:rFonts w:ascii="Arial" w:eastAsia="Calibri" w:hAnsi="Arial" w:cs="Arial"/>
          <w:b/>
        </w:rPr>
        <w:t>PwD</w:t>
      </w:r>
      <w:r w:rsidRPr="00763CEB">
        <w:rPr>
          <w:rFonts w:ascii="Arial" w:eastAsia="Calibri" w:hAnsi="Arial" w:cs="Arial"/>
          <w:bCs/>
        </w:rPr>
        <w:t>-1.5%against 0.2% target</w:t>
      </w:r>
    </w:p>
    <w:p w14:paraId="6EFE2FE3" w14:textId="77777777" w:rsidR="000F6DF8" w:rsidRPr="00763CEB" w:rsidRDefault="000F6DF8" w:rsidP="004D3329">
      <w:pPr>
        <w:numPr>
          <w:ilvl w:val="0"/>
          <w:numId w:val="8"/>
        </w:numPr>
        <w:spacing w:after="200" w:line="360" w:lineRule="auto"/>
        <w:contextualSpacing/>
        <w:jc w:val="both"/>
        <w:rPr>
          <w:rFonts w:ascii="Arial" w:eastAsia="Calibri" w:hAnsi="Arial" w:cs="Arial"/>
          <w:bCs/>
        </w:rPr>
      </w:pPr>
      <w:r w:rsidRPr="00974DAD">
        <w:rPr>
          <w:rFonts w:ascii="Arial" w:eastAsia="Calibri" w:hAnsi="Arial" w:cs="Arial"/>
          <w:b/>
        </w:rPr>
        <w:t>Township Economy</w:t>
      </w:r>
      <w:r w:rsidRPr="00763CEB">
        <w:rPr>
          <w:rFonts w:ascii="Arial" w:eastAsia="Calibri" w:hAnsi="Arial" w:cs="Arial"/>
          <w:bCs/>
        </w:rPr>
        <w:t>- 54.9 against 10% target</w:t>
      </w:r>
    </w:p>
    <w:p w14:paraId="287FFC8B" w14:textId="77777777" w:rsidR="000F6DF8" w:rsidRPr="00196D4F" w:rsidRDefault="000F6DF8" w:rsidP="000F6DF8">
      <w:pPr>
        <w:spacing w:after="200" w:line="360" w:lineRule="auto"/>
        <w:contextualSpacing/>
        <w:jc w:val="both"/>
        <w:rPr>
          <w:rFonts w:ascii="Arial" w:eastAsia="Calibri" w:hAnsi="Arial" w:cs="Arial"/>
        </w:rPr>
      </w:pPr>
      <w:r w:rsidRPr="00196D4F">
        <w:rPr>
          <w:rFonts w:ascii="Arial" w:eastAsia="Calibri" w:hAnsi="Arial" w:cs="Arial"/>
        </w:rPr>
        <w:t xml:space="preserve">The SCM policy adhered to as all services sourced, and payments effected in line with contracts and service level agreements. All goods and services were acquired in line with business plans and applicable SCM processes. Existing suppliers were vetted and those who were not in compliance with legislative prescripts were removed from the database. </w:t>
      </w:r>
    </w:p>
    <w:p w14:paraId="51083BAF" w14:textId="77777777" w:rsidR="000F6DF8" w:rsidRPr="00196D4F" w:rsidRDefault="000F6DF8" w:rsidP="000F6DF8">
      <w:pPr>
        <w:spacing w:line="360" w:lineRule="auto"/>
        <w:jc w:val="both"/>
        <w:rPr>
          <w:rFonts w:ascii="Arial" w:eastAsia="Calibri" w:hAnsi="Arial" w:cs="Arial"/>
        </w:rPr>
      </w:pPr>
      <w:r w:rsidRPr="00196D4F">
        <w:rPr>
          <w:rFonts w:ascii="Arial" w:eastAsia="Calibri" w:hAnsi="Arial" w:cs="Arial"/>
        </w:rPr>
        <w:t xml:space="preserve">In terms of the provision of effective, efficient and transparent systems of risk management and internal control for the identification and avoidance of risks within the institution. The Strategic risk management assessment was concluded and adopted by the audit and risk committee. Resultant to that the operational risk assessments were concluded. </w:t>
      </w:r>
    </w:p>
    <w:p w14:paraId="43E68496" w14:textId="77777777" w:rsidR="000F6DF8" w:rsidRDefault="000F6DF8" w:rsidP="000F6DF8">
      <w:pPr>
        <w:spacing w:line="360" w:lineRule="auto"/>
        <w:jc w:val="both"/>
        <w:rPr>
          <w:rFonts w:ascii="Arial" w:eastAsia="Calibri" w:hAnsi="Arial" w:cs="Arial"/>
        </w:rPr>
      </w:pPr>
      <w:r w:rsidRPr="00196D4F">
        <w:rPr>
          <w:rFonts w:ascii="Arial" w:eastAsia="Calibri" w:hAnsi="Arial" w:cs="Arial"/>
        </w:rPr>
        <w:t xml:space="preserve">During the period under review the </w:t>
      </w:r>
      <w:r w:rsidRPr="00F6187A">
        <w:rPr>
          <w:rFonts w:ascii="Arial" w:eastAsia="Calibri" w:hAnsi="Arial" w:cs="Arial"/>
        </w:rPr>
        <w:t>20</w:t>
      </w:r>
      <w:r>
        <w:rPr>
          <w:rFonts w:ascii="Arial" w:eastAsia="Calibri" w:hAnsi="Arial" w:cs="Arial"/>
        </w:rPr>
        <w:t>22/23</w:t>
      </w:r>
      <w:r w:rsidRPr="00196D4F">
        <w:rPr>
          <w:rFonts w:ascii="Arial" w:eastAsia="Calibri" w:hAnsi="Arial" w:cs="Arial"/>
          <w:b/>
        </w:rPr>
        <w:t xml:space="preserve"> </w:t>
      </w:r>
      <w:r w:rsidRPr="00196D4F">
        <w:rPr>
          <w:rFonts w:ascii="Arial" w:eastAsia="Calibri" w:hAnsi="Arial" w:cs="Arial"/>
        </w:rPr>
        <w:t>external risk audit was concluded. Furthermore, three quarterly fraud prevention committee meetings were convened, and one annual meeting workshop was held. Lastly an audit tracking report updated quarterly as a way of improving internal control, risk management and governance processes.</w:t>
      </w:r>
    </w:p>
    <w:p w14:paraId="7D794A6D" w14:textId="77777777" w:rsidR="000F6DF8" w:rsidRPr="00763CEB" w:rsidRDefault="000F6DF8" w:rsidP="004D3329">
      <w:pPr>
        <w:pStyle w:val="Heading1"/>
        <w:numPr>
          <w:ilvl w:val="0"/>
          <w:numId w:val="12"/>
        </w:numPr>
        <w:rPr>
          <w:rFonts w:ascii="Arial" w:eastAsia="Times New Roman" w:hAnsi="Arial" w:cs="Arial"/>
          <w:b/>
          <w:bCs/>
          <w:sz w:val="24"/>
          <w:szCs w:val="24"/>
          <w:lang w:eastAsia="ja-JP"/>
        </w:rPr>
      </w:pPr>
      <w:bookmarkStart w:id="34" w:name="_Toc146084302"/>
      <w:r w:rsidRPr="00763CEB">
        <w:rPr>
          <w:rFonts w:ascii="Arial" w:eastAsia="Times New Roman" w:hAnsi="Arial" w:cs="Arial"/>
          <w:b/>
          <w:bCs/>
          <w:color w:val="auto"/>
          <w:sz w:val="24"/>
          <w:szCs w:val="24"/>
          <w:lang w:val="en-GB" w:eastAsia="ja-JP"/>
        </w:rPr>
        <w:t>SECTION: MICRO ANALYSIS</w:t>
      </w:r>
      <w:bookmarkEnd w:id="34"/>
    </w:p>
    <w:p w14:paraId="312932EE" w14:textId="77777777" w:rsidR="000F6DF8" w:rsidRPr="00196D4F" w:rsidRDefault="000F6DF8" w:rsidP="000F6DF8">
      <w:pPr>
        <w:spacing w:line="360" w:lineRule="auto"/>
        <w:ind w:left="66"/>
        <w:jc w:val="both"/>
        <w:rPr>
          <w:rFonts w:ascii="Arial" w:eastAsiaTheme="minorEastAsia" w:hAnsi="Arial" w:cs="Arial"/>
          <w:bCs/>
        </w:rPr>
      </w:pPr>
      <w:r w:rsidRPr="00196D4F">
        <w:rPr>
          <w:rFonts w:ascii="Arial" w:eastAsiaTheme="minorEastAsia" w:hAnsi="Arial" w:cs="Arial"/>
          <w:bCs/>
        </w:rPr>
        <w:t xml:space="preserve">This section focuses on the budget expenditure of the Gauteng Provincial Legislature for the year under review.  </w:t>
      </w:r>
    </w:p>
    <w:p w14:paraId="1493ADB4" w14:textId="77777777" w:rsidR="000F6DF8" w:rsidRPr="00196D4F" w:rsidRDefault="000F6DF8" w:rsidP="004D3329">
      <w:pPr>
        <w:numPr>
          <w:ilvl w:val="0"/>
          <w:numId w:val="9"/>
        </w:numPr>
        <w:spacing w:line="360" w:lineRule="auto"/>
        <w:ind w:left="567" w:hanging="283"/>
        <w:jc w:val="both"/>
        <w:rPr>
          <w:rFonts w:ascii="Arial" w:eastAsiaTheme="minorEastAsia" w:hAnsi="Arial" w:cs="Arial"/>
          <w:bCs/>
        </w:rPr>
      </w:pPr>
      <w:r w:rsidRPr="00196D4F">
        <w:rPr>
          <w:rFonts w:ascii="Arial" w:eastAsiaTheme="minorEastAsia" w:hAnsi="Arial" w:cs="Arial"/>
          <w:b/>
          <w:bCs/>
        </w:rPr>
        <w:t>Departmental Budget Expenditure</w:t>
      </w:r>
      <w:r w:rsidRPr="00196D4F">
        <w:rPr>
          <w:rFonts w:ascii="Arial" w:eastAsiaTheme="minorEastAsia" w:hAnsi="Arial" w:cs="Arial"/>
          <w:bCs/>
        </w:rPr>
        <w:t>:</w:t>
      </w:r>
    </w:p>
    <w:p w14:paraId="007B92AF" w14:textId="77777777" w:rsidR="000F6DF8" w:rsidRPr="007C0C44" w:rsidRDefault="000F6DF8" w:rsidP="004D3329">
      <w:pPr>
        <w:numPr>
          <w:ilvl w:val="0"/>
          <w:numId w:val="10"/>
        </w:numPr>
        <w:spacing w:line="360" w:lineRule="auto"/>
        <w:ind w:left="851" w:hanging="284"/>
        <w:jc w:val="both"/>
        <w:rPr>
          <w:rFonts w:ascii="Arial" w:eastAsiaTheme="minorEastAsia" w:hAnsi="Arial" w:cs="Arial"/>
          <w:bCs/>
        </w:rPr>
      </w:pPr>
      <w:r w:rsidRPr="00196D4F">
        <w:rPr>
          <w:rFonts w:ascii="Arial" w:eastAsiaTheme="minorEastAsia" w:hAnsi="Arial" w:cs="Arial"/>
          <w:bCs/>
        </w:rPr>
        <w:t xml:space="preserve">For the period under review the GPL was allocated a total amount of </w:t>
      </w:r>
      <w:r w:rsidRPr="007C0C44">
        <w:rPr>
          <w:rFonts w:ascii="Arial" w:eastAsiaTheme="minorEastAsia" w:hAnsi="Arial" w:cs="Arial"/>
          <w:bCs/>
        </w:rPr>
        <w:t>R8</w:t>
      </w:r>
      <w:r>
        <w:rPr>
          <w:rFonts w:ascii="Arial" w:eastAsiaTheme="minorEastAsia" w:hAnsi="Arial" w:cs="Arial"/>
          <w:bCs/>
        </w:rPr>
        <w:t>25.16</w:t>
      </w:r>
      <w:r w:rsidRPr="00196D4F">
        <w:rPr>
          <w:rFonts w:ascii="Arial" w:eastAsiaTheme="minorEastAsia" w:hAnsi="Arial" w:cs="Arial"/>
          <w:b/>
          <w:bCs/>
        </w:rPr>
        <w:t xml:space="preserve"> </w:t>
      </w:r>
      <w:r w:rsidRPr="00196D4F">
        <w:rPr>
          <w:rFonts w:ascii="Arial" w:eastAsiaTheme="minorEastAsia" w:hAnsi="Arial" w:cs="Arial"/>
          <w:bCs/>
        </w:rPr>
        <w:t xml:space="preserve">million and it managed to spend </w:t>
      </w:r>
      <w:r w:rsidRPr="007C0C44">
        <w:rPr>
          <w:rFonts w:ascii="Arial" w:eastAsiaTheme="minorEastAsia" w:hAnsi="Arial" w:cs="Arial"/>
          <w:bCs/>
        </w:rPr>
        <w:t>R</w:t>
      </w:r>
      <w:r>
        <w:rPr>
          <w:rFonts w:ascii="Arial" w:eastAsiaTheme="minorEastAsia" w:hAnsi="Arial" w:cs="Arial"/>
          <w:bCs/>
        </w:rPr>
        <w:t>756</w:t>
      </w:r>
      <w:r>
        <w:rPr>
          <w:rFonts w:ascii="Arial" w:eastAsiaTheme="minorEastAsia" w:hAnsi="Arial" w:cs="Arial"/>
          <w:b/>
          <w:bCs/>
        </w:rPr>
        <w:t xml:space="preserve"> </w:t>
      </w:r>
      <w:r w:rsidRPr="00196D4F">
        <w:rPr>
          <w:rFonts w:ascii="Arial" w:eastAsiaTheme="minorEastAsia" w:hAnsi="Arial" w:cs="Arial"/>
          <w:bCs/>
        </w:rPr>
        <w:t xml:space="preserve">million. Materially underspending by </w:t>
      </w:r>
      <w:r w:rsidRPr="007C0C44">
        <w:rPr>
          <w:rFonts w:ascii="Arial" w:eastAsiaTheme="minorEastAsia" w:hAnsi="Arial" w:cs="Arial"/>
          <w:bCs/>
        </w:rPr>
        <w:t>R</w:t>
      </w:r>
      <w:r>
        <w:rPr>
          <w:rFonts w:ascii="Arial" w:eastAsiaTheme="minorEastAsia" w:hAnsi="Arial" w:cs="Arial"/>
          <w:bCs/>
        </w:rPr>
        <w:t xml:space="preserve">68.97 </w:t>
      </w:r>
      <w:r w:rsidRPr="007C0C44">
        <w:rPr>
          <w:rFonts w:ascii="Arial" w:eastAsiaTheme="minorEastAsia" w:hAnsi="Arial" w:cs="Arial"/>
          <w:bCs/>
        </w:rPr>
        <w:t xml:space="preserve">million. </w:t>
      </w:r>
    </w:p>
    <w:p w14:paraId="1FB6F135" w14:textId="77777777" w:rsidR="000F6DF8" w:rsidRPr="00196D4F" w:rsidRDefault="000F6DF8" w:rsidP="004D3329">
      <w:pPr>
        <w:numPr>
          <w:ilvl w:val="0"/>
          <w:numId w:val="10"/>
        </w:numPr>
        <w:spacing w:line="360" w:lineRule="auto"/>
        <w:ind w:left="851" w:hanging="284"/>
        <w:jc w:val="both"/>
        <w:rPr>
          <w:rFonts w:ascii="Arial" w:eastAsiaTheme="minorEastAsia" w:hAnsi="Arial" w:cs="Arial"/>
          <w:bCs/>
        </w:rPr>
      </w:pPr>
      <w:r w:rsidRPr="00196D4F">
        <w:rPr>
          <w:rFonts w:ascii="Arial" w:eastAsiaTheme="minorEastAsia" w:hAnsi="Arial" w:cs="Arial"/>
          <w:bCs/>
        </w:rPr>
        <w:t xml:space="preserve">This represents </w:t>
      </w:r>
      <w:r>
        <w:rPr>
          <w:rFonts w:ascii="Arial" w:eastAsiaTheme="minorEastAsia" w:hAnsi="Arial" w:cs="Arial"/>
          <w:bCs/>
        </w:rPr>
        <w:t>91.6</w:t>
      </w:r>
      <w:r w:rsidRPr="00196D4F">
        <w:rPr>
          <w:rFonts w:ascii="Arial" w:eastAsiaTheme="minorEastAsia" w:hAnsi="Arial" w:cs="Arial"/>
          <w:b/>
          <w:bCs/>
        </w:rPr>
        <w:t>%</w:t>
      </w:r>
      <w:r w:rsidRPr="00196D4F">
        <w:rPr>
          <w:rFonts w:ascii="Arial" w:eastAsiaTheme="minorEastAsia" w:hAnsi="Arial" w:cs="Arial"/>
          <w:bCs/>
        </w:rPr>
        <w:t xml:space="preserve"> expenditure pattern for the period under review. </w:t>
      </w:r>
    </w:p>
    <w:p w14:paraId="4850497C" w14:textId="77777777" w:rsidR="000F6DF8" w:rsidRPr="00196D4F" w:rsidRDefault="000F6DF8" w:rsidP="004D3329">
      <w:pPr>
        <w:numPr>
          <w:ilvl w:val="0"/>
          <w:numId w:val="10"/>
        </w:numPr>
        <w:spacing w:line="360" w:lineRule="auto"/>
        <w:ind w:left="851" w:hanging="284"/>
        <w:jc w:val="both"/>
        <w:rPr>
          <w:rFonts w:ascii="Arial" w:eastAsiaTheme="minorEastAsia" w:hAnsi="Arial" w:cs="Arial"/>
          <w:bCs/>
        </w:rPr>
      </w:pPr>
      <w:r w:rsidRPr="00196D4F">
        <w:rPr>
          <w:rFonts w:ascii="Arial" w:eastAsiaTheme="minorEastAsia" w:hAnsi="Arial" w:cs="Arial"/>
          <w:bCs/>
        </w:rPr>
        <w:t xml:space="preserve">The GPL had been consistently underspending during the financial year and this should be a serious concern to the Committee. </w:t>
      </w:r>
    </w:p>
    <w:p w14:paraId="4B1FE71C" w14:textId="77777777" w:rsidR="000F6DF8" w:rsidRPr="00196D4F" w:rsidRDefault="000F6DF8" w:rsidP="004D3329">
      <w:pPr>
        <w:numPr>
          <w:ilvl w:val="0"/>
          <w:numId w:val="10"/>
        </w:numPr>
        <w:spacing w:line="360" w:lineRule="auto"/>
        <w:ind w:left="851" w:hanging="284"/>
        <w:jc w:val="both"/>
        <w:rPr>
          <w:rFonts w:ascii="Arial" w:eastAsiaTheme="minorEastAsia" w:hAnsi="Arial" w:cs="Arial"/>
          <w:bCs/>
        </w:rPr>
      </w:pPr>
      <w:r w:rsidRPr="00196D4F">
        <w:rPr>
          <w:rFonts w:ascii="Arial" w:eastAsiaTheme="minorEastAsia" w:hAnsi="Arial" w:cs="Arial"/>
          <w:bCs/>
        </w:rPr>
        <w:t>Reasons provided for underspending are related to:</w:t>
      </w:r>
    </w:p>
    <w:p w14:paraId="21F2033A" w14:textId="473BC5AA" w:rsidR="000F6DF8" w:rsidRPr="00196D4F" w:rsidRDefault="000F6DF8" w:rsidP="004D3329">
      <w:pPr>
        <w:numPr>
          <w:ilvl w:val="0"/>
          <w:numId w:val="11"/>
        </w:numPr>
        <w:spacing w:after="200" w:line="360" w:lineRule="auto"/>
        <w:contextualSpacing/>
        <w:jc w:val="both"/>
        <w:rPr>
          <w:rFonts w:ascii="Arial" w:eastAsiaTheme="minorEastAsia" w:hAnsi="Arial" w:cs="Arial"/>
          <w:bCs/>
        </w:rPr>
      </w:pPr>
      <w:r w:rsidRPr="00196D4F">
        <w:rPr>
          <w:rFonts w:ascii="Arial" w:eastAsiaTheme="minorEastAsia" w:hAnsi="Arial" w:cs="Arial"/>
          <w:bCs/>
        </w:rPr>
        <w:t>Personnel expenditure consequential to approved positions not filled, the Committee should express its concern as th</w:t>
      </w:r>
      <w:r w:rsidR="00D70C89">
        <w:rPr>
          <w:rFonts w:ascii="Arial" w:eastAsiaTheme="minorEastAsia" w:hAnsi="Arial" w:cs="Arial"/>
          <w:bCs/>
        </w:rPr>
        <w:t>is</w:t>
      </w:r>
      <w:r w:rsidRPr="00196D4F">
        <w:rPr>
          <w:rFonts w:ascii="Arial" w:eastAsiaTheme="minorEastAsia" w:hAnsi="Arial" w:cs="Arial"/>
          <w:bCs/>
        </w:rPr>
        <w:t xml:space="preserve"> h</w:t>
      </w:r>
      <w:r w:rsidR="00D70C89">
        <w:rPr>
          <w:rFonts w:ascii="Arial" w:eastAsiaTheme="minorEastAsia" w:hAnsi="Arial" w:cs="Arial"/>
          <w:bCs/>
        </w:rPr>
        <w:t>as</w:t>
      </w:r>
      <w:r w:rsidRPr="00196D4F">
        <w:rPr>
          <w:rFonts w:ascii="Arial" w:eastAsiaTheme="minorEastAsia" w:hAnsi="Arial" w:cs="Arial"/>
          <w:bCs/>
        </w:rPr>
        <w:t xml:space="preserve"> been continuing since the </w:t>
      </w:r>
      <w:r>
        <w:rPr>
          <w:rFonts w:ascii="Arial" w:eastAsiaTheme="minorEastAsia" w:hAnsi="Arial" w:cs="Arial"/>
          <w:bCs/>
        </w:rPr>
        <w:t>beginning of the political term.</w:t>
      </w:r>
      <w:r w:rsidRPr="00196D4F">
        <w:rPr>
          <w:rFonts w:ascii="Arial" w:eastAsiaTheme="minorEastAsia" w:hAnsi="Arial" w:cs="Arial"/>
          <w:bCs/>
        </w:rPr>
        <w:t xml:space="preserve">  </w:t>
      </w:r>
    </w:p>
    <w:p w14:paraId="5C728AAE" w14:textId="77777777" w:rsidR="000F6DF8" w:rsidRPr="00C526A0" w:rsidRDefault="000F6DF8" w:rsidP="004D3329">
      <w:pPr>
        <w:numPr>
          <w:ilvl w:val="0"/>
          <w:numId w:val="9"/>
        </w:numPr>
        <w:spacing w:line="360" w:lineRule="auto"/>
        <w:ind w:left="567" w:hanging="283"/>
        <w:contextualSpacing/>
        <w:jc w:val="both"/>
        <w:rPr>
          <w:rFonts w:ascii="Arial" w:eastAsiaTheme="minorEastAsia" w:hAnsi="Arial" w:cs="Arial"/>
          <w:bCs/>
        </w:rPr>
      </w:pPr>
      <w:r w:rsidRPr="00C526A0">
        <w:rPr>
          <w:rFonts w:ascii="Arial" w:eastAsiaTheme="minorEastAsia" w:hAnsi="Arial" w:cs="Arial"/>
          <w:bCs/>
        </w:rPr>
        <w:t>Non implementation of certain planned activities 6</w:t>
      </w:r>
      <w:r>
        <w:rPr>
          <w:rFonts w:ascii="Arial" w:eastAsiaTheme="minorEastAsia" w:hAnsi="Arial" w:cs="Arial"/>
          <w:bCs/>
        </w:rPr>
        <w:t>8</w:t>
      </w:r>
      <w:r w:rsidRPr="00C526A0">
        <w:rPr>
          <w:rFonts w:ascii="Arial" w:eastAsiaTheme="minorEastAsia" w:hAnsi="Arial" w:cs="Arial"/>
          <w:bCs/>
        </w:rPr>
        <w:t xml:space="preserve">% of the targets set were achieved against </w:t>
      </w:r>
      <w:r>
        <w:rPr>
          <w:rFonts w:ascii="Arial" w:eastAsiaTheme="minorEastAsia" w:hAnsi="Arial" w:cs="Arial"/>
          <w:bCs/>
        </w:rPr>
        <w:t>91.6</w:t>
      </w:r>
      <w:r w:rsidRPr="00C526A0">
        <w:rPr>
          <w:rFonts w:ascii="Arial" w:eastAsiaTheme="minorEastAsia" w:hAnsi="Arial" w:cs="Arial"/>
          <w:b/>
          <w:bCs/>
        </w:rPr>
        <w:t xml:space="preserve">% </w:t>
      </w:r>
      <w:r w:rsidRPr="00C526A0">
        <w:rPr>
          <w:rFonts w:ascii="Arial" w:eastAsiaTheme="minorEastAsia" w:hAnsi="Arial" w:cs="Arial"/>
          <w:bCs/>
        </w:rPr>
        <w:t>of the allocated budget</w:t>
      </w:r>
      <w:r>
        <w:rPr>
          <w:rFonts w:ascii="Arial" w:eastAsiaTheme="minorEastAsia" w:hAnsi="Arial" w:cs="Arial"/>
          <w:bCs/>
        </w:rPr>
        <w:t>.</w:t>
      </w:r>
    </w:p>
    <w:p w14:paraId="313F2169" w14:textId="77777777" w:rsidR="000F6DF8" w:rsidRPr="00196D4F" w:rsidRDefault="000F6DF8" w:rsidP="004D3329">
      <w:pPr>
        <w:numPr>
          <w:ilvl w:val="0"/>
          <w:numId w:val="9"/>
        </w:numPr>
        <w:spacing w:line="360" w:lineRule="auto"/>
        <w:ind w:left="567" w:hanging="283"/>
        <w:jc w:val="both"/>
        <w:rPr>
          <w:rFonts w:ascii="Arial" w:eastAsiaTheme="minorEastAsia" w:hAnsi="Arial" w:cs="Arial"/>
          <w:bCs/>
        </w:rPr>
      </w:pPr>
      <w:r w:rsidRPr="00196D4F">
        <w:rPr>
          <w:rFonts w:ascii="Arial" w:eastAsiaTheme="minorEastAsia" w:hAnsi="Arial" w:cs="Arial"/>
          <w:bCs/>
        </w:rPr>
        <w:t xml:space="preserve">Departmental budget expenditure per Programme for the period under review </w:t>
      </w:r>
    </w:p>
    <w:p w14:paraId="5DF177B5" w14:textId="77777777" w:rsidR="000F6DF8" w:rsidRPr="00196D4F" w:rsidRDefault="000F6DF8" w:rsidP="000F6DF8">
      <w:pPr>
        <w:spacing w:line="360" w:lineRule="auto"/>
        <w:jc w:val="both"/>
        <w:rPr>
          <w:rFonts w:ascii="Arial" w:eastAsiaTheme="minorEastAsia" w:hAnsi="Arial" w:cs="Arial"/>
          <w:bCs/>
        </w:rPr>
      </w:pPr>
      <w:r w:rsidRPr="00196D4F">
        <w:rPr>
          <w:rFonts w:ascii="Arial" w:eastAsiaTheme="minorEastAsia" w:hAnsi="Arial" w:cs="Arial"/>
          <w:bCs/>
        </w:rPr>
        <w:t xml:space="preserve">In terms of the Budget performance per </w:t>
      </w:r>
      <w:r w:rsidRPr="00196D4F">
        <w:rPr>
          <w:rFonts w:ascii="Arial" w:eastAsiaTheme="minorEastAsia" w:hAnsi="Arial" w:cs="Arial"/>
          <w:b/>
          <w:bCs/>
        </w:rPr>
        <w:t>Economic Classification:</w:t>
      </w:r>
      <w:r w:rsidRPr="00196D4F">
        <w:rPr>
          <w:rFonts w:ascii="Arial" w:eastAsiaTheme="minorEastAsia" w:hAnsi="Arial" w:cs="Arial"/>
          <w:bCs/>
        </w:rPr>
        <w:t xml:space="preserve"> </w:t>
      </w:r>
    </w:p>
    <w:tbl>
      <w:tblPr>
        <w:tblStyle w:val="TableGrid"/>
        <w:tblW w:w="0" w:type="auto"/>
        <w:tblLook w:val="04A0" w:firstRow="1" w:lastRow="0" w:firstColumn="1" w:lastColumn="0" w:noHBand="0" w:noVBand="1"/>
      </w:tblPr>
      <w:tblGrid>
        <w:gridCol w:w="9016"/>
      </w:tblGrid>
      <w:tr w:rsidR="000F6DF8" w:rsidRPr="00196D4F" w14:paraId="3BEA7088" w14:textId="77777777" w:rsidTr="000A19EB">
        <w:tc>
          <w:tcPr>
            <w:tcW w:w="9016" w:type="dxa"/>
          </w:tcPr>
          <w:p w14:paraId="138A4E4C" w14:textId="77777777" w:rsidR="000F6DF8" w:rsidRPr="00196D4F" w:rsidRDefault="000F6DF8" w:rsidP="000A19EB">
            <w:pPr>
              <w:spacing w:line="360" w:lineRule="auto"/>
              <w:jc w:val="both"/>
              <w:rPr>
                <w:rFonts w:ascii="Arial" w:hAnsi="Arial" w:cs="Arial"/>
                <w:bCs/>
              </w:rPr>
            </w:pPr>
            <w:r w:rsidRPr="00196D4F">
              <w:rPr>
                <w:rFonts w:ascii="Arial" w:hAnsi="Arial" w:cs="Arial"/>
                <w:b/>
                <w:bCs/>
              </w:rPr>
              <w:t>Compensation of Employees</w:t>
            </w:r>
            <w:r w:rsidRPr="00196D4F">
              <w:rPr>
                <w:rFonts w:ascii="Arial" w:hAnsi="Arial" w:cs="Arial"/>
                <w:bCs/>
              </w:rPr>
              <w:t xml:space="preserve"> </w:t>
            </w:r>
            <w:r>
              <w:rPr>
                <w:rFonts w:ascii="Arial" w:hAnsi="Arial" w:cs="Arial"/>
                <w:bCs/>
              </w:rPr>
              <w:t>spending was at 93.8%</w:t>
            </w:r>
            <w:r w:rsidRPr="00196D4F">
              <w:rPr>
                <w:rFonts w:ascii="Arial" w:hAnsi="Arial" w:cs="Arial"/>
                <w:bCs/>
              </w:rPr>
              <w:t xml:space="preserve"> </w:t>
            </w:r>
          </w:p>
        </w:tc>
      </w:tr>
      <w:tr w:rsidR="000F6DF8" w:rsidRPr="00196D4F" w14:paraId="157E781F" w14:textId="77777777" w:rsidTr="000A19EB">
        <w:tc>
          <w:tcPr>
            <w:tcW w:w="9016" w:type="dxa"/>
          </w:tcPr>
          <w:p w14:paraId="2BEBF0B7" w14:textId="77777777" w:rsidR="000F6DF8" w:rsidRPr="00196D4F" w:rsidRDefault="000F6DF8" w:rsidP="000A19EB">
            <w:pPr>
              <w:spacing w:line="360" w:lineRule="auto"/>
              <w:jc w:val="both"/>
              <w:rPr>
                <w:rFonts w:ascii="Arial" w:hAnsi="Arial" w:cs="Arial"/>
                <w:bCs/>
              </w:rPr>
            </w:pPr>
            <w:r w:rsidRPr="00196D4F">
              <w:rPr>
                <w:rFonts w:ascii="Arial" w:hAnsi="Arial" w:cs="Arial"/>
                <w:b/>
                <w:bCs/>
              </w:rPr>
              <w:t>Goods and Services</w:t>
            </w:r>
            <w:r w:rsidRPr="00196D4F">
              <w:rPr>
                <w:rFonts w:ascii="Arial" w:hAnsi="Arial" w:cs="Arial"/>
                <w:bCs/>
              </w:rPr>
              <w:t xml:space="preserve"> </w:t>
            </w:r>
            <w:r>
              <w:rPr>
                <w:rFonts w:ascii="Arial" w:hAnsi="Arial" w:cs="Arial"/>
                <w:bCs/>
              </w:rPr>
              <w:t>spending was at 88.1%</w:t>
            </w:r>
            <w:r w:rsidRPr="00196D4F">
              <w:rPr>
                <w:rFonts w:ascii="Arial" w:hAnsi="Arial" w:cs="Arial"/>
                <w:bCs/>
              </w:rPr>
              <w:t xml:space="preserve"> </w:t>
            </w:r>
          </w:p>
        </w:tc>
      </w:tr>
      <w:tr w:rsidR="000F6DF8" w:rsidRPr="00196D4F" w14:paraId="4B41EAA2" w14:textId="77777777" w:rsidTr="000A19EB">
        <w:tc>
          <w:tcPr>
            <w:tcW w:w="9016" w:type="dxa"/>
          </w:tcPr>
          <w:p w14:paraId="2FD2F65C" w14:textId="77777777" w:rsidR="000F6DF8" w:rsidRPr="00196D4F" w:rsidRDefault="000F6DF8" w:rsidP="000A19EB">
            <w:pPr>
              <w:spacing w:line="360" w:lineRule="auto"/>
              <w:jc w:val="both"/>
              <w:rPr>
                <w:rFonts w:ascii="Arial" w:hAnsi="Arial" w:cs="Arial"/>
                <w:bCs/>
              </w:rPr>
            </w:pPr>
            <w:r w:rsidRPr="00196D4F">
              <w:rPr>
                <w:rFonts w:ascii="Arial" w:hAnsi="Arial" w:cs="Arial"/>
                <w:b/>
                <w:bCs/>
              </w:rPr>
              <w:t>Transfers and Subsidies</w:t>
            </w:r>
            <w:r w:rsidRPr="00196D4F">
              <w:rPr>
                <w:rFonts w:ascii="Arial" w:hAnsi="Arial" w:cs="Arial"/>
                <w:bCs/>
              </w:rPr>
              <w:t xml:space="preserve"> </w:t>
            </w:r>
            <w:r>
              <w:rPr>
                <w:rFonts w:ascii="Arial" w:hAnsi="Arial" w:cs="Arial"/>
                <w:bCs/>
              </w:rPr>
              <w:t>to political parties was at 100%</w:t>
            </w:r>
          </w:p>
        </w:tc>
      </w:tr>
      <w:tr w:rsidR="000F6DF8" w:rsidRPr="00196D4F" w14:paraId="50821680" w14:textId="77777777" w:rsidTr="000A19EB">
        <w:tc>
          <w:tcPr>
            <w:tcW w:w="9016" w:type="dxa"/>
          </w:tcPr>
          <w:p w14:paraId="3AD32012" w14:textId="77777777" w:rsidR="000F6DF8" w:rsidRPr="00196D4F" w:rsidRDefault="000F6DF8" w:rsidP="000A19EB">
            <w:pPr>
              <w:spacing w:line="360" w:lineRule="auto"/>
              <w:jc w:val="both"/>
              <w:rPr>
                <w:rFonts w:ascii="Arial" w:hAnsi="Arial" w:cs="Arial"/>
                <w:bCs/>
              </w:rPr>
            </w:pPr>
            <w:r w:rsidRPr="00196D4F">
              <w:rPr>
                <w:rFonts w:ascii="Arial" w:hAnsi="Arial" w:cs="Arial"/>
                <w:b/>
                <w:bCs/>
              </w:rPr>
              <w:t>Capital Assets</w:t>
            </w:r>
            <w:r w:rsidRPr="00196D4F">
              <w:rPr>
                <w:rFonts w:ascii="Arial" w:hAnsi="Arial" w:cs="Arial"/>
                <w:bCs/>
              </w:rPr>
              <w:t xml:space="preserve"> </w:t>
            </w:r>
            <w:r>
              <w:rPr>
                <w:rFonts w:ascii="Arial" w:hAnsi="Arial" w:cs="Arial"/>
                <w:bCs/>
              </w:rPr>
              <w:t>spending was at 26.4%</w:t>
            </w:r>
            <w:r w:rsidRPr="00196D4F">
              <w:rPr>
                <w:rFonts w:ascii="Arial" w:hAnsi="Arial" w:cs="Arial"/>
                <w:bCs/>
              </w:rPr>
              <w:t xml:space="preserve">  </w:t>
            </w:r>
          </w:p>
        </w:tc>
      </w:tr>
    </w:tbl>
    <w:p w14:paraId="29A5FCAD" w14:textId="77777777" w:rsidR="000F6DF8" w:rsidRPr="00196D4F" w:rsidRDefault="000F6DF8" w:rsidP="000F6DF8">
      <w:pPr>
        <w:rPr>
          <w:rFonts w:ascii="Arial" w:eastAsia="Times New Roman" w:hAnsi="Arial" w:cs="Arial"/>
          <w:b/>
          <w:lang w:val="en-GB" w:eastAsia="ja-JP"/>
        </w:rPr>
      </w:pPr>
      <w:r w:rsidRPr="00196D4F">
        <w:rPr>
          <w:rFonts w:ascii="Arial" w:eastAsia="Times New Roman" w:hAnsi="Arial" w:cs="Arial"/>
          <w:b/>
          <w:lang w:val="en-GB" w:eastAsia="ja-JP"/>
        </w:rPr>
        <w:br w:type="page"/>
      </w:r>
    </w:p>
    <w:p w14:paraId="5FDB39F5" w14:textId="77777777" w:rsidR="000F6DF8" w:rsidRPr="00763CEB" w:rsidRDefault="000F6DF8" w:rsidP="004D3329">
      <w:pPr>
        <w:pStyle w:val="Heading1"/>
        <w:numPr>
          <w:ilvl w:val="0"/>
          <w:numId w:val="12"/>
        </w:numPr>
        <w:rPr>
          <w:rFonts w:ascii="Arial" w:eastAsia="Times New Roman" w:hAnsi="Arial" w:cs="Arial"/>
          <w:b/>
          <w:bCs/>
          <w:sz w:val="24"/>
          <w:szCs w:val="24"/>
          <w:lang w:val="en-CA" w:eastAsia="ja-JP"/>
        </w:rPr>
      </w:pPr>
      <w:bookmarkStart w:id="35" w:name="_Toc146084303"/>
      <w:r w:rsidRPr="00763CEB">
        <w:rPr>
          <w:rFonts w:ascii="Arial" w:eastAsia="Times New Roman" w:hAnsi="Arial" w:cs="Arial"/>
          <w:b/>
          <w:bCs/>
          <w:color w:val="auto"/>
          <w:sz w:val="24"/>
          <w:szCs w:val="24"/>
          <w:lang w:val="en-GB" w:eastAsia="ja-JP"/>
        </w:rPr>
        <w:t>Section: The Auditor General’s Report: Gauteng Provincial Legislature</w:t>
      </w:r>
      <w:bookmarkEnd w:id="35"/>
    </w:p>
    <w:p w14:paraId="784B6649" w14:textId="77777777" w:rsidR="000F6DF8" w:rsidRDefault="000F6DF8" w:rsidP="000F6DF8">
      <w:pPr>
        <w:autoSpaceDE w:val="0"/>
        <w:autoSpaceDN w:val="0"/>
        <w:spacing w:after="120" w:line="360" w:lineRule="auto"/>
        <w:jc w:val="both"/>
        <w:rPr>
          <w:rFonts w:ascii="Arial" w:eastAsia="Times New Roman" w:hAnsi="Arial" w:cs="Arial"/>
          <w:b/>
          <w:lang w:val="en-CA" w:eastAsia="ja-JP"/>
        </w:rPr>
      </w:pPr>
    </w:p>
    <w:p w14:paraId="7F9FE924" w14:textId="77777777" w:rsidR="000F6DF8" w:rsidRPr="00196D4F" w:rsidRDefault="000F6DF8" w:rsidP="000F6DF8">
      <w:pPr>
        <w:autoSpaceDE w:val="0"/>
        <w:autoSpaceDN w:val="0"/>
        <w:spacing w:after="120" w:line="360" w:lineRule="auto"/>
        <w:jc w:val="both"/>
        <w:rPr>
          <w:rFonts w:ascii="Arial" w:eastAsia="Times New Roman" w:hAnsi="Arial" w:cs="Arial"/>
          <w:b/>
          <w:lang w:val="en-CA" w:eastAsia="ja-JP"/>
        </w:rPr>
      </w:pPr>
      <w:r w:rsidRPr="00196D4F">
        <w:rPr>
          <w:rFonts w:ascii="Arial" w:eastAsia="Times New Roman" w:hAnsi="Arial" w:cs="Arial"/>
          <w:b/>
          <w:lang w:val="en-CA" w:eastAsia="ja-JP"/>
        </w:rPr>
        <w:t>The AGSA expressed the following:</w:t>
      </w:r>
    </w:p>
    <w:p w14:paraId="34BFF633" w14:textId="77777777" w:rsidR="000F6DF8" w:rsidRPr="00196D4F" w:rsidRDefault="000F6DF8" w:rsidP="000F6DF8">
      <w:pPr>
        <w:autoSpaceDE w:val="0"/>
        <w:autoSpaceDN w:val="0"/>
        <w:spacing w:after="120" w:line="360" w:lineRule="auto"/>
        <w:jc w:val="both"/>
        <w:rPr>
          <w:rFonts w:ascii="Arial" w:eastAsia="Times New Roman" w:hAnsi="Arial" w:cs="Arial"/>
          <w:b/>
          <w:lang w:val="en-CA" w:eastAsia="ja-JP"/>
        </w:rPr>
      </w:pPr>
      <w:r w:rsidRPr="00196D4F">
        <w:rPr>
          <w:rFonts w:ascii="Arial" w:eastAsia="Times New Roman" w:hAnsi="Arial" w:cs="Arial"/>
          <w:b/>
          <w:lang w:val="en-CA" w:eastAsia="ja-JP"/>
        </w:rPr>
        <w:t>Unqualified Audit Opinion with</w:t>
      </w:r>
      <w:r>
        <w:rPr>
          <w:rFonts w:ascii="Arial" w:eastAsia="Times New Roman" w:hAnsi="Arial" w:cs="Arial"/>
          <w:b/>
          <w:lang w:val="en-CA" w:eastAsia="ja-JP"/>
        </w:rPr>
        <w:t xml:space="preserve"> No</w:t>
      </w:r>
      <w:r w:rsidRPr="00196D4F">
        <w:rPr>
          <w:rFonts w:ascii="Arial" w:eastAsia="Times New Roman" w:hAnsi="Arial" w:cs="Arial"/>
          <w:b/>
          <w:lang w:val="en-CA" w:eastAsia="ja-JP"/>
        </w:rPr>
        <w:t xml:space="preserve"> Matters of Emphasis</w:t>
      </w:r>
    </w:p>
    <w:p w14:paraId="4354E090" w14:textId="77777777" w:rsidR="000F6DF8" w:rsidRPr="00763CEB" w:rsidRDefault="000F6DF8" w:rsidP="004D3329">
      <w:pPr>
        <w:pStyle w:val="ListParagraph"/>
        <w:keepNext/>
        <w:numPr>
          <w:ilvl w:val="0"/>
          <w:numId w:val="16"/>
        </w:numPr>
        <w:spacing w:after="240" w:line="360" w:lineRule="auto"/>
        <w:jc w:val="both"/>
        <w:outlineLvl w:val="2"/>
        <w:rPr>
          <w:rFonts w:ascii="Arial" w:eastAsiaTheme="majorEastAsia" w:hAnsi="Arial" w:cs="Arial"/>
          <w:b/>
          <w:color w:val="2F5496" w:themeColor="accent1" w:themeShade="BF"/>
        </w:rPr>
      </w:pPr>
      <w:bookmarkStart w:id="36" w:name="_Toc527031850"/>
      <w:bookmarkStart w:id="37" w:name="_Toc146084304"/>
      <w:r w:rsidRPr="00763CEB">
        <w:rPr>
          <w:rFonts w:ascii="Arial" w:eastAsiaTheme="majorEastAsia" w:hAnsi="Arial" w:cs="Arial"/>
          <w:color w:val="2F5496" w:themeColor="accent1" w:themeShade="BF"/>
        </w:rPr>
        <w:t>Significant emphasis of matters</w:t>
      </w:r>
      <w:bookmarkEnd w:id="36"/>
      <w:bookmarkEnd w:id="37"/>
    </w:p>
    <w:tbl>
      <w:tblPr>
        <w:tblW w:w="5000" w:type="pct"/>
        <w:tblBorders>
          <w:top w:val="single" w:sz="4" w:space="0" w:color="93776B"/>
          <w:left w:val="single" w:sz="4" w:space="0" w:color="93776B"/>
          <w:bottom w:val="single" w:sz="4" w:space="0" w:color="93776B"/>
          <w:right w:val="single" w:sz="4" w:space="0" w:color="93776B"/>
          <w:insideH w:val="single" w:sz="4" w:space="0" w:color="93776B"/>
          <w:insideV w:val="single" w:sz="4" w:space="0" w:color="93776B"/>
        </w:tblBorders>
        <w:tblLook w:val="04A0" w:firstRow="1" w:lastRow="0" w:firstColumn="1" w:lastColumn="0" w:noHBand="0" w:noVBand="1"/>
      </w:tblPr>
      <w:tblGrid>
        <w:gridCol w:w="9016"/>
      </w:tblGrid>
      <w:tr w:rsidR="000F6DF8" w:rsidRPr="00196D4F" w14:paraId="39B0228E" w14:textId="77777777" w:rsidTr="000A19EB">
        <w:trPr>
          <w:trHeight w:val="211"/>
          <w:tblHeader/>
        </w:trPr>
        <w:tc>
          <w:tcPr>
            <w:tcW w:w="5000" w:type="pct"/>
            <w:shd w:val="clear" w:color="auto" w:fill="928073"/>
          </w:tcPr>
          <w:p w14:paraId="2A37CC94" w14:textId="77777777" w:rsidR="000F6DF8" w:rsidRPr="00196D4F" w:rsidRDefault="000F6DF8" w:rsidP="000A19EB">
            <w:pPr>
              <w:spacing w:before="40" w:after="40" w:line="360" w:lineRule="auto"/>
              <w:jc w:val="both"/>
              <w:rPr>
                <w:rFonts w:ascii="Arial" w:eastAsia="Times New Roman" w:hAnsi="Arial" w:cs="Arial"/>
                <w:b/>
                <w:color w:val="FFFFFF" w:themeColor="background1"/>
              </w:rPr>
            </w:pPr>
            <w:r w:rsidRPr="00196D4F">
              <w:rPr>
                <w:rFonts w:ascii="Arial" w:eastAsia="Times New Roman" w:hAnsi="Arial" w:cs="Arial"/>
                <w:b/>
                <w:color w:val="FFFFFF" w:themeColor="background1"/>
              </w:rPr>
              <w:t xml:space="preserve">Emphasis of matter raised </w:t>
            </w:r>
          </w:p>
        </w:tc>
      </w:tr>
      <w:tr w:rsidR="000F6DF8" w:rsidRPr="00196D4F" w14:paraId="385516D0" w14:textId="77777777" w:rsidTr="000A19EB">
        <w:trPr>
          <w:trHeight w:val="263"/>
        </w:trPr>
        <w:tc>
          <w:tcPr>
            <w:tcW w:w="5000" w:type="pct"/>
          </w:tcPr>
          <w:p w14:paraId="352A84CB" w14:textId="77777777" w:rsidR="000F6DF8" w:rsidRDefault="000F6DF8" w:rsidP="000A19EB">
            <w:pPr>
              <w:spacing w:before="40" w:after="40" w:line="360" w:lineRule="auto"/>
              <w:jc w:val="both"/>
              <w:rPr>
                <w:rFonts w:ascii="Arial" w:eastAsiaTheme="minorEastAsia" w:hAnsi="Arial" w:cs="Arial"/>
              </w:rPr>
            </w:pPr>
            <w:r w:rsidRPr="00196D4F">
              <w:rPr>
                <w:rFonts w:ascii="Arial" w:eastAsiaTheme="minorEastAsia" w:hAnsi="Arial" w:cs="Arial"/>
              </w:rPr>
              <w:t>Material uncertainty - Legislature remains a defendant in a labour related matter</w:t>
            </w:r>
            <w:r>
              <w:rPr>
                <w:rFonts w:ascii="Arial" w:eastAsiaTheme="minorEastAsia" w:hAnsi="Arial" w:cs="Arial"/>
              </w:rPr>
              <w:t>:</w:t>
            </w:r>
          </w:p>
          <w:p w14:paraId="3B35261B" w14:textId="77777777" w:rsidR="000F6DF8" w:rsidRDefault="000F6DF8" w:rsidP="004D3329">
            <w:pPr>
              <w:pStyle w:val="ListParagraph"/>
              <w:numPr>
                <w:ilvl w:val="0"/>
                <w:numId w:val="11"/>
              </w:numPr>
              <w:spacing w:before="40" w:after="40" w:line="360" w:lineRule="auto"/>
              <w:jc w:val="both"/>
              <w:rPr>
                <w:rFonts w:ascii="Arial" w:eastAsiaTheme="minorEastAsia" w:hAnsi="Arial" w:cs="Arial"/>
              </w:rPr>
            </w:pPr>
            <w:r>
              <w:rPr>
                <w:rFonts w:ascii="Arial" w:eastAsiaTheme="minorEastAsia" w:hAnsi="Arial" w:cs="Arial"/>
              </w:rPr>
              <w:t>Mr Gwabaza v GPL at CCMA-monetary value of the case R773 128 and he was reinstated.</w:t>
            </w:r>
          </w:p>
          <w:p w14:paraId="0103A2CB" w14:textId="77777777" w:rsidR="000F6DF8" w:rsidRDefault="000F6DF8" w:rsidP="004D3329">
            <w:pPr>
              <w:pStyle w:val="ListParagraph"/>
              <w:numPr>
                <w:ilvl w:val="0"/>
                <w:numId w:val="11"/>
              </w:numPr>
              <w:spacing w:before="40" w:after="40" w:line="360" w:lineRule="auto"/>
              <w:jc w:val="both"/>
              <w:rPr>
                <w:rFonts w:ascii="Arial" w:eastAsiaTheme="minorEastAsia" w:hAnsi="Arial" w:cs="Arial"/>
              </w:rPr>
            </w:pPr>
            <w:r>
              <w:rPr>
                <w:rFonts w:ascii="Arial" w:eastAsiaTheme="minorEastAsia" w:hAnsi="Arial" w:cs="Arial"/>
              </w:rPr>
              <w:t>Nehawu v GPL at CCMA-expected monetary value R25 258 784</w:t>
            </w:r>
          </w:p>
          <w:p w14:paraId="0388F614" w14:textId="77777777" w:rsidR="000F6DF8" w:rsidRPr="00EA3B32" w:rsidRDefault="000F6DF8" w:rsidP="004D3329">
            <w:pPr>
              <w:pStyle w:val="ListParagraph"/>
              <w:numPr>
                <w:ilvl w:val="0"/>
                <w:numId w:val="11"/>
              </w:numPr>
              <w:spacing w:before="40" w:after="40" w:line="360" w:lineRule="auto"/>
              <w:jc w:val="both"/>
              <w:rPr>
                <w:rFonts w:ascii="Arial" w:eastAsiaTheme="minorEastAsia" w:hAnsi="Arial" w:cs="Arial"/>
              </w:rPr>
            </w:pPr>
            <w:r>
              <w:rPr>
                <w:rFonts w:ascii="Arial" w:eastAsiaTheme="minorEastAsia" w:hAnsi="Arial" w:cs="Arial"/>
              </w:rPr>
              <w:t>Mr Munyai v GPL at the labour court-expected monetary value R257 967</w:t>
            </w:r>
            <w:r w:rsidRPr="00EA3B32">
              <w:rPr>
                <w:rFonts w:ascii="Arial" w:eastAsiaTheme="minorEastAsia" w:hAnsi="Arial" w:cs="Arial"/>
              </w:rPr>
              <w:t xml:space="preserve">. The ultimate outcome of the matter could not be determined and no provision for any liability that may result was made in the financial statements. During the last reporting period the AG had expressed the same finding. The Committee should then express an opinion as this is the </w:t>
            </w:r>
            <w:r>
              <w:rPr>
                <w:rFonts w:ascii="Arial" w:eastAsiaTheme="minorEastAsia" w:hAnsi="Arial" w:cs="Arial"/>
              </w:rPr>
              <w:t xml:space="preserve">fourth </w:t>
            </w:r>
            <w:r w:rsidRPr="00EA3B32">
              <w:rPr>
                <w:rFonts w:ascii="Arial" w:eastAsiaTheme="minorEastAsia" w:hAnsi="Arial" w:cs="Arial"/>
              </w:rPr>
              <w:t xml:space="preserve">year the matter has been flagged by the AG.  </w:t>
            </w:r>
          </w:p>
        </w:tc>
      </w:tr>
    </w:tbl>
    <w:p w14:paraId="3358FBB8" w14:textId="77777777" w:rsidR="000F6DF8" w:rsidRPr="00196D4F" w:rsidRDefault="000F6DF8" w:rsidP="000F6DF8">
      <w:pPr>
        <w:autoSpaceDE w:val="0"/>
        <w:autoSpaceDN w:val="0"/>
        <w:spacing w:after="120" w:line="360" w:lineRule="auto"/>
        <w:jc w:val="both"/>
        <w:rPr>
          <w:rFonts w:ascii="Arial" w:eastAsia="Times New Roman" w:hAnsi="Arial" w:cs="Arial"/>
          <w:lang w:val="en-CA" w:eastAsia="ja-JP"/>
        </w:rPr>
      </w:pPr>
    </w:p>
    <w:p w14:paraId="77BD8760" w14:textId="77777777" w:rsidR="000F6DF8" w:rsidRDefault="000F6DF8" w:rsidP="000F6DF8">
      <w:pPr>
        <w:rPr>
          <w:rFonts w:ascii="Arial" w:eastAsia="Times New Roman" w:hAnsi="Arial" w:cs="Arial"/>
          <w:b/>
          <w:bCs/>
          <w:lang w:val="en-GB" w:eastAsia="ja-JP"/>
        </w:rPr>
      </w:pPr>
      <w:r>
        <w:rPr>
          <w:rFonts w:ascii="Arial" w:eastAsia="Times New Roman" w:hAnsi="Arial" w:cs="Arial"/>
          <w:b/>
          <w:bCs/>
          <w:lang w:val="en-GB" w:eastAsia="ja-JP"/>
        </w:rPr>
        <w:br w:type="page"/>
      </w:r>
    </w:p>
    <w:p w14:paraId="3CFF5D4B" w14:textId="77777777" w:rsidR="000F6DF8" w:rsidRDefault="000F6DF8" w:rsidP="004D3329">
      <w:pPr>
        <w:pStyle w:val="Heading1"/>
        <w:numPr>
          <w:ilvl w:val="0"/>
          <w:numId w:val="12"/>
        </w:numPr>
        <w:rPr>
          <w:rFonts w:ascii="Arial" w:eastAsia="Times New Roman" w:hAnsi="Arial" w:cs="Arial"/>
          <w:b/>
          <w:bCs/>
          <w:color w:val="auto"/>
          <w:sz w:val="24"/>
          <w:szCs w:val="24"/>
          <w:lang w:val="en-US" w:eastAsia="ja-JP"/>
        </w:rPr>
      </w:pPr>
      <w:bookmarkStart w:id="38" w:name="_Toc146084305"/>
      <w:r w:rsidRPr="00763CEB">
        <w:rPr>
          <w:rFonts w:ascii="Arial" w:eastAsia="Times New Roman" w:hAnsi="Arial" w:cs="Arial"/>
          <w:b/>
          <w:bCs/>
          <w:color w:val="auto"/>
          <w:sz w:val="24"/>
          <w:szCs w:val="24"/>
          <w:lang w:val="en-GB" w:eastAsia="ja-JP"/>
        </w:rPr>
        <w:t>Section:  Q</w:t>
      </w:r>
      <w:r w:rsidRPr="00763CEB">
        <w:rPr>
          <w:rFonts w:ascii="Arial" w:eastAsia="Times New Roman" w:hAnsi="Arial" w:cs="Arial"/>
          <w:b/>
          <w:bCs/>
          <w:color w:val="auto"/>
          <w:sz w:val="24"/>
          <w:szCs w:val="24"/>
          <w:lang w:val="en-US" w:eastAsia="ja-JP"/>
        </w:rPr>
        <w:t>uestions to be Addressed by Department(s)</w:t>
      </w:r>
      <w:bookmarkEnd w:id="38"/>
    </w:p>
    <w:p w14:paraId="2BAAE3FC" w14:textId="77777777" w:rsidR="000F6DF8" w:rsidRPr="00763CEB" w:rsidRDefault="000F6DF8" w:rsidP="000F6DF8">
      <w:pPr>
        <w:spacing w:after="160" w:line="259" w:lineRule="auto"/>
        <w:rPr>
          <w:lang w:val="en-US" w:eastAsia="ja-JP"/>
        </w:rPr>
      </w:pPr>
    </w:p>
    <w:p w14:paraId="55F8F6F0" w14:textId="77777777" w:rsidR="000F6DF8" w:rsidRPr="00196D4F" w:rsidRDefault="000F6DF8" w:rsidP="000F6DF8">
      <w:pPr>
        <w:numPr>
          <w:ilvl w:val="1"/>
          <w:numId w:val="6"/>
        </w:numPr>
        <w:autoSpaceDE w:val="0"/>
        <w:autoSpaceDN w:val="0"/>
        <w:spacing w:after="120" w:line="360" w:lineRule="auto"/>
        <w:ind w:left="1080"/>
        <w:contextualSpacing/>
        <w:jc w:val="both"/>
        <w:rPr>
          <w:rFonts w:ascii="Arial" w:eastAsia="Times New Roman" w:hAnsi="Arial" w:cs="Arial"/>
          <w:lang w:val="en-CA" w:eastAsia="ja-JP"/>
        </w:rPr>
      </w:pPr>
      <w:r>
        <w:rPr>
          <w:rFonts w:ascii="Arial" w:eastAsia="Times New Roman" w:hAnsi="Arial" w:cs="Arial"/>
          <w:lang w:val="en-CA" w:eastAsia="ja-JP"/>
        </w:rPr>
        <w:t xml:space="preserve">What is the reason for the GPL not to attain all planned targets? </w:t>
      </w:r>
    </w:p>
    <w:p w14:paraId="4B263E76" w14:textId="77777777" w:rsidR="000F6DF8" w:rsidRDefault="000F6DF8" w:rsidP="000F6DF8">
      <w:pPr>
        <w:numPr>
          <w:ilvl w:val="1"/>
          <w:numId w:val="6"/>
        </w:numPr>
        <w:autoSpaceDE w:val="0"/>
        <w:autoSpaceDN w:val="0"/>
        <w:spacing w:after="120" w:line="360" w:lineRule="auto"/>
        <w:ind w:left="1080"/>
        <w:contextualSpacing/>
        <w:jc w:val="both"/>
        <w:rPr>
          <w:rFonts w:ascii="Arial" w:eastAsia="Times New Roman" w:hAnsi="Arial" w:cs="Arial"/>
          <w:lang w:val="en-CA" w:eastAsia="ja-JP"/>
        </w:rPr>
      </w:pPr>
      <w:r w:rsidRPr="00196D4F">
        <w:rPr>
          <w:rFonts w:ascii="Arial" w:eastAsia="Times New Roman" w:hAnsi="Arial" w:cs="Arial"/>
          <w:lang w:val="en-CA" w:eastAsia="ja-JP"/>
        </w:rPr>
        <w:t>The GPL is report</w:t>
      </w:r>
      <w:r>
        <w:rPr>
          <w:rFonts w:ascii="Arial" w:eastAsia="Times New Roman" w:hAnsi="Arial" w:cs="Arial"/>
          <w:lang w:val="en-CA" w:eastAsia="ja-JP"/>
        </w:rPr>
        <w:t xml:space="preserve">ed to have underspent by R68.9 </w:t>
      </w:r>
      <w:r w:rsidRPr="00196D4F">
        <w:rPr>
          <w:rFonts w:ascii="Arial" w:eastAsia="Times New Roman" w:hAnsi="Arial" w:cs="Arial"/>
          <w:lang w:val="en-CA" w:eastAsia="ja-JP"/>
        </w:rPr>
        <w:t>million,</w:t>
      </w:r>
      <w:r>
        <w:rPr>
          <w:rFonts w:ascii="Arial" w:eastAsia="Times New Roman" w:hAnsi="Arial" w:cs="Arial"/>
          <w:lang w:val="en-CA" w:eastAsia="ja-JP"/>
        </w:rPr>
        <w:t xml:space="preserve"> what is the reason for not utilising all the allocated resources.</w:t>
      </w:r>
    </w:p>
    <w:p w14:paraId="15371694" w14:textId="77777777" w:rsidR="000F6DF8" w:rsidRDefault="000F6DF8" w:rsidP="000F6DF8">
      <w:pPr>
        <w:numPr>
          <w:ilvl w:val="1"/>
          <w:numId w:val="6"/>
        </w:numPr>
        <w:autoSpaceDE w:val="0"/>
        <w:autoSpaceDN w:val="0"/>
        <w:spacing w:after="120" w:line="360" w:lineRule="auto"/>
        <w:ind w:left="1080"/>
        <w:contextualSpacing/>
        <w:jc w:val="both"/>
        <w:rPr>
          <w:rFonts w:ascii="Arial" w:eastAsia="Times New Roman" w:hAnsi="Arial" w:cs="Arial"/>
          <w:lang w:val="en-CA" w:eastAsia="ja-JP"/>
        </w:rPr>
      </w:pPr>
      <w:r>
        <w:rPr>
          <w:rFonts w:ascii="Arial" w:eastAsia="Times New Roman" w:hAnsi="Arial" w:cs="Arial"/>
          <w:lang w:val="en-CA" w:eastAsia="ja-JP"/>
        </w:rPr>
        <w:t>How much did the GPL underspend under personnel cost driver?</w:t>
      </w:r>
    </w:p>
    <w:p w14:paraId="7D69D9D8" w14:textId="77777777" w:rsidR="000F6DF8" w:rsidRPr="00196D4F" w:rsidRDefault="000F6DF8" w:rsidP="000F6DF8">
      <w:pPr>
        <w:numPr>
          <w:ilvl w:val="2"/>
          <w:numId w:val="6"/>
        </w:numPr>
        <w:autoSpaceDE w:val="0"/>
        <w:autoSpaceDN w:val="0"/>
        <w:spacing w:after="120" w:line="360" w:lineRule="auto"/>
        <w:ind w:left="2880"/>
        <w:contextualSpacing/>
        <w:jc w:val="both"/>
        <w:rPr>
          <w:rFonts w:ascii="Arial" w:eastAsia="Times New Roman" w:hAnsi="Arial" w:cs="Arial"/>
          <w:lang w:val="en-CA" w:eastAsia="ja-JP"/>
        </w:rPr>
      </w:pPr>
      <w:r w:rsidRPr="00196D4F">
        <w:rPr>
          <w:rFonts w:ascii="Arial" w:eastAsia="Times New Roman" w:hAnsi="Arial" w:cs="Arial"/>
          <w:lang w:val="en-CA" w:eastAsia="ja-JP"/>
        </w:rPr>
        <w:t>How many vacancies does the Institution have?</w:t>
      </w:r>
    </w:p>
    <w:p w14:paraId="60D72881" w14:textId="77777777" w:rsidR="000F6DF8" w:rsidRPr="00CD75B5" w:rsidRDefault="000F6DF8" w:rsidP="000F6DF8">
      <w:pPr>
        <w:numPr>
          <w:ilvl w:val="2"/>
          <w:numId w:val="6"/>
        </w:numPr>
        <w:autoSpaceDE w:val="0"/>
        <w:autoSpaceDN w:val="0"/>
        <w:spacing w:after="120" w:line="360" w:lineRule="auto"/>
        <w:ind w:left="2880"/>
        <w:contextualSpacing/>
        <w:jc w:val="both"/>
        <w:rPr>
          <w:rFonts w:ascii="Arial" w:eastAsia="Times New Roman" w:hAnsi="Arial" w:cs="Arial"/>
          <w:lang w:val="en-CA" w:eastAsia="ja-JP"/>
        </w:rPr>
      </w:pPr>
      <w:r w:rsidRPr="00196D4F">
        <w:rPr>
          <w:rFonts w:ascii="Arial" w:eastAsia="Times New Roman" w:hAnsi="Arial" w:cs="Arial"/>
          <w:lang w:val="en-CA" w:eastAsia="ja-JP"/>
        </w:rPr>
        <w:t>What plans has the GPL put in place to expedite filling of these vacancies?</w:t>
      </w:r>
    </w:p>
    <w:p w14:paraId="77414626" w14:textId="253367AB" w:rsidR="004D3329" w:rsidRPr="004D3329" w:rsidRDefault="004D3329" w:rsidP="000F6DF8">
      <w:pPr>
        <w:numPr>
          <w:ilvl w:val="1"/>
          <w:numId w:val="6"/>
        </w:numPr>
        <w:autoSpaceDE w:val="0"/>
        <w:autoSpaceDN w:val="0"/>
        <w:spacing w:after="120" w:line="360" w:lineRule="auto"/>
        <w:ind w:left="1080"/>
        <w:contextualSpacing/>
        <w:jc w:val="both"/>
        <w:rPr>
          <w:rFonts w:ascii="Arial" w:eastAsia="Times New Roman" w:hAnsi="Arial" w:cs="Arial"/>
          <w:lang w:val="en-CA" w:eastAsia="ja-JP"/>
        </w:rPr>
      </w:pPr>
      <w:r>
        <w:rPr>
          <w:rFonts w:ascii="Arial" w:eastAsia="Times New Roman" w:hAnsi="Arial" w:cs="Arial"/>
          <w:lang w:val="en-CA" w:eastAsia="ja-JP"/>
        </w:rPr>
        <w:t>Please provide the Committee with the status on the payment of IPMS to levels P7-P8 as per the target</w:t>
      </w:r>
    </w:p>
    <w:p w14:paraId="3939D294" w14:textId="0FE8F665" w:rsidR="000F6DF8" w:rsidRPr="003E607C" w:rsidRDefault="000F6DF8" w:rsidP="000F6DF8">
      <w:pPr>
        <w:numPr>
          <w:ilvl w:val="1"/>
          <w:numId w:val="6"/>
        </w:numPr>
        <w:autoSpaceDE w:val="0"/>
        <w:autoSpaceDN w:val="0"/>
        <w:spacing w:after="120" w:line="360" w:lineRule="auto"/>
        <w:ind w:left="1080"/>
        <w:contextualSpacing/>
        <w:jc w:val="both"/>
        <w:rPr>
          <w:rFonts w:ascii="Arial" w:eastAsia="Times New Roman" w:hAnsi="Arial" w:cs="Arial"/>
          <w:lang w:val="en-CA" w:eastAsia="ja-JP"/>
        </w:rPr>
      </w:pPr>
      <w:r>
        <w:rPr>
          <w:rFonts w:ascii="Arial" w:eastAsia="Times New Roman" w:hAnsi="Arial" w:cs="Arial"/>
          <w:lang w:val="en-US" w:eastAsia="ja-JP"/>
        </w:rPr>
        <w:t>Please appraise the Committee with the status of the following institutional projects</w:t>
      </w:r>
    </w:p>
    <w:p w14:paraId="7A5038F3" w14:textId="77777777" w:rsidR="000F6DF8" w:rsidRPr="003E607C" w:rsidRDefault="000F6DF8" w:rsidP="000F6DF8">
      <w:pPr>
        <w:pStyle w:val="ListParagraph"/>
        <w:numPr>
          <w:ilvl w:val="2"/>
          <w:numId w:val="6"/>
        </w:numPr>
        <w:autoSpaceDE w:val="0"/>
        <w:autoSpaceDN w:val="0"/>
        <w:spacing w:after="120" w:line="360" w:lineRule="auto"/>
        <w:ind w:left="2880"/>
        <w:jc w:val="both"/>
        <w:rPr>
          <w:rFonts w:ascii="Arial" w:eastAsia="Times New Roman" w:hAnsi="Arial" w:cs="Arial"/>
          <w:lang w:val="en-US" w:eastAsia="ja-JP"/>
        </w:rPr>
      </w:pPr>
      <w:r w:rsidRPr="003E607C">
        <w:rPr>
          <w:rFonts w:ascii="Arial" w:eastAsia="Times New Roman" w:hAnsi="Arial" w:cs="Arial"/>
          <w:lang w:val="en-US" w:eastAsia="ja-JP"/>
        </w:rPr>
        <w:t>Space Optimisation</w:t>
      </w:r>
    </w:p>
    <w:p w14:paraId="72A5C387" w14:textId="0179EB07" w:rsidR="000F6DF8" w:rsidRDefault="000F6DF8" w:rsidP="000F6DF8">
      <w:pPr>
        <w:pStyle w:val="ListParagraph"/>
        <w:numPr>
          <w:ilvl w:val="2"/>
          <w:numId w:val="6"/>
        </w:numPr>
        <w:autoSpaceDE w:val="0"/>
        <w:autoSpaceDN w:val="0"/>
        <w:spacing w:after="120" w:line="360" w:lineRule="auto"/>
        <w:ind w:left="2880"/>
        <w:jc w:val="both"/>
        <w:rPr>
          <w:rFonts w:ascii="Arial" w:eastAsia="Times New Roman" w:hAnsi="Arial" w:cs="Arial"/>
          <w:lang w:val="en-CA" w:eastAsia="ja-JP"/>
        </w:rPr>
      </w:pPr>
      <w:r>
        <w:rPr>
          <w:rFonts w:ascii="Arial" w:eastAsia="Times New Roman" w:hAnsi="Arial" w:cs="Arial"/>
          <w:lang w:val="en-US" w:eastAsia="ja-JP"/>
        </w:rPr>
        <w:t xml:space="preserve">Value </w:t>
      </w:r>
      <w:r w:rsidR="00575888">
        <w:rPr>
          <w:rFonts w:ascii="Arial" w:eastAsia="Times New Roman" w:hAnsi="Arial" w:cs="Arial"/>
          <w:lang w:val="en-US" w:eastAsia="ja-JP"/>
        </w:rPr>
        <w:t>C</w:t>
      </w:r>
      <w:r>
        <w:rPr>
          <w:rFonts w:ascii="Arial" w:eastAsia="Times New Roman" w:hAnsi="Arial" w:cs="Arial"/>
          <w:lang w:val="en-US" w:eastAsia="ja-JP"/>
        </w:rPr>
        <w:t xml:space="preserve">reation </w:t>
      </w:r>
    </w:p>
    <w:p w14:paraId="5C4AF89E" w14:textId="781B67A0" w:rsidR="000F6DF8" w:rsidRDefault="000F6DF8" w:rsidP="000F6DF8">
      <w:pPr>
        <w:numPr>
          <w:ilvl w:val="1"/>
          <w:numId w:val="6"/>
        </w:numPr>
        <w:autoSpaceDE w:val="0"/>
        <w:autoSpaceDN w:val="0"/>
        <w:spacing w:after="120" w:line="360" w:lineRule="auto"/>
        <w:ind w:left="1080"/>
        <w:contextualSpacing/>
        <w:jc w:val="both"/>
      </w:pPr>
      <w:r w:rsidRPr="008947CF">
        <w:rPr>
          <w:rFonts w:ascii="Arial" w:eastAsia="Times New Roman" w:hAnsi="Arial" w:cs="Arial"/>
          <w:lang w:val="en-CA" w:eastAsia="ja-JP"/>
        </w:rPr>
        <w:t xml:space="preserve">The GPL is reported to have paid performance bonuses to senior management. Please explain how </w:t>
      </w:r>
      <w:r w:rsidR="004D3329">
        <w:rPr>
          <w:rFonts w:ascii="Arial" w:eastAsia="Times New Roman" w:hAnsi="Arial" w:cs="Arial"/>
          <w:lang w:val="en-CA" w:eastAsia="ja-JP"/>
        </w:rPr>
        <w:t>much was</w:t>
      </w:r>
      <w:r>
        <w:rPr>
          <w:rFonts w:ascii="Arial" w:eastAsia="Times New Roman" w:hAnsi="Arial" w:cs="Arial"/>
          <w:lang w:val="en-CA" w:eastAsia="ja-JP"/>
        </w:rPr>
        <w:t xml:space="preserve"> </w:t>
      </w:r>
      <w:r w:rsidRPr="008947CF">
        <w:rPr>
          <w:rFonts w:ascii="Arial" w:eastAsia="Times New Roman" w:hAnsi="Arial" w:cs="Arial"/>
          <w:lang w:val="en-CA" w:eastAsia="ja-JP"/>
        </w:rPr>
        <w:t xml:space="preserve">paid when </w:t>
      </w:r>
      <w:r w:rsidR="00575888">
        <w:rPr>
          <w:rFonts w:ascii="Arial" w:eastAsia="Times New Roman" w:hAnsi="Arial" w:cs="Arial"/>
          <w:lang w:val="en-CA" w:eastAsia="ja-JP"/>
        </w:rPr>
        <w:t>T</w:t>
      </w:r>
      <w:r w:rsidRPr="008947CF">
        <w:rPr>
          <w:rFonts w:ascii="Arial" w:eastAsia="Times New Roman" w:hAnsi="Arial" w:cs="Arial"/>
          <w:lang w:val="en-CA" w:eastAsia="ja-JP"/>
        </w:rPr>
        <w:t>reasury instructed that these should not be paid</w:t>
      </w:r>
      <w:r>
        <w:rPr>
          <w:rFonts w:ascii="Arial" w:eastAsia="Times New Roman" w:hAnsi="Arial" w:cs="Arial"/>
          <w:lang w:val="en-CA" w:eastAsia="ja-JP"/>
        </w:rPr>
        <w:t>?</w:t>
      </w:r>
    </w:p>
    <w:p w14:paraId="29F044F2" w14:textId="4330B8DD" w:rsidR="00417A7E" w:rsidRPr="00417A7E" w:rsidRDefault="00417A7E" w:rsidP="00417A7E">
      <w:pPr>
        <w:rPr>
          <w:b/>
          <w:bCs/>
          <w:noProof/>
          <w:lang w:val="en-US"/>
        </w:rPr>
      </w:pPr>
    </w:p>
    <w:sectPr w:rsidR="00417A7E" w:rsidRPr="00417A7E" w:rsidSect="00EE6442">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8300" w14:textId="77777777" w:rsidR="004F1911" w:rsidRDefault="004F1911" w:rsidP="00EE6442">
      <w:r>
        <w:separator/>
      </w:r>
    </w:p>
  </w:endnote>
  <w:endnote w:type="continuationSeparator" w:id="0">
    <w:p w14:paraId="36B4E75B" w14:textId="77777777" w:rsidR="004F1911" w:rsidRDefault="004F1911" w:rsidP="00EE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0EDE" w14:textId="00FDA543" w:rsidR="00EE6442" w:rsidRDefault="00A54AAF">
    <w:pPr>
      <w:pStyle w:val="Footer"/>
    </w:pPr>
    <w:r>
      <w:rPr>
        <w:noProof/>
      </w:rPr>
      <w:drawing>
        <wp:anchor distT="0" distB="0" distL="114300" distR="114300" simplePos="0" relativeHeight="251660288" behindDoc="1" locked="0" layoutInCell="1" allowOverlap="0" wp14:anchorId="7E27685F" wp14:editId="21A787D3">
          <wp:simplePos x="0" y="0"/>
          <wp:positionH relativeFrom="column">
            <wp:posOffset>-914400</wp:posOffset>
          </wp:positionH>
          <wp:positionV relativeFrom="page">
            <wp:posOffset>7686675</wp:posOffset>
          </wp:positionV>
          <wp:extent cx="7560310" cy="4663440"/>
          <wp:effectExtent l="0" t="0" r="2540" b="381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310" cy="46634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E46C" w14:textId="77777777" w:rsidR="004F1911" w:rsidRDefault="004F1911" w:rsidP="00EE6442">
      <w:r>
        <w:separator/>
      </w:r>
    </w:p>
  </w:footnote>
  <w:footnote w:type="continuationSeparator" w:id="0">
    <w:p w14:paraId="44657638" w14:textId="77777777" w:rsidR="004F1911" w:rsidRDefault="004F1911" w:rsidP="00EE6442">
      <w:r>
        <w:continuationSeparator/>
      </w:r>
    </w:p>
  </w:footnote>
  <w:footnote w:id="1">
    <w:p w14:paraId="0882141D" w14:textId="77777777" w:rsidR="000F6DF8" w:rsidRPr="007D333C" w:rsidRDefault="000F6DF8" w:rsidP="000F6DF8">
      <w:pPr>
        <w:pStyle w:val="FootnoteText"/>
        <w:rPr>
          <w:lang w:val="en-ZA"/>
        </w:rPr>
      </w:pPr>
      <w:r>
        <w:rPr>
          <w:rStyle w:val="FootnoteReference"/>
        </w:rPr>
        <w:footnoteRef/>
      </w:r>
      <w:r>
        <w:t xml:space="preserve"> </w:t>
      </w:r>
      <w:r>
        <w:rPr>
          <w:lang w:val="en-ZA"/>
        </w:rPr>
        <w:t>National Treasury. 2005. Guideline for Legislature Oversight through Annual Reports. Paper Commissioned by the National Treasury</w:t>
      </w:r>
    </w:p>
  </w:footnote>
  <w:footnote w:id="2">
    <w:p w14:paraId="014A60A6" w14:textId="77777777" w:rsidR="000F6DF8" w:rsidRPr="004378BC" w:rsidRDefault="000F6DF8" w:rsidP="000F6DF8">
      <w:pPr>
        <w:pStyle w:val="FootnoteText"/>
        <w:rPr>
          <w:lang w:val="en-ZA"/>
        </w:rPr>
      </w:pPr>
      <w:r>
        <w:rPr>
          <w:rStyle w:val="FootnoteReference"/>
          <w:rFonts w:eastAsiaTheme="majorEastAsia"/>
        </w:rPr>
        <w:footnoteRef/>
      </w:r>
      <w:r>
        <w:t xml:space="preserve"> </w:t>
      </w:r>
      <w:r>
        <w:rPr>
          <w:lang w:val="en-ZA"/>
        </w:rPr>
        <w:t xml:space="preserve">Oversight Model of the South African Legislative Sector. </w:t>
      </w:r>
    </w:p>
  </w:footnote>
  <w:footnote w:id="3">
    <w:p w14:paraId="1D6A838E" w14:textId="77777777" w:rsidR="000F6DF8" w:rsidRDefault="000F6DF8" w:rsidP="000F6DF8">
      <w:pPr>
        <w:pStyle w:val="FootnoteText"/>
      </w:pPr>
      <w:r>
        <w:rPr>
          <w:rStyle w:val="FootnoteReference"/>
          <w:rFonts w:eastAsiaTheme="majorEastAsia"/>
        </w:rPr>
        <w:footnoteRef/>
      </w:r>
      <w:r>
        <w:t xml:space="preserve"> John Locke. 1632-1704. Vile Constitutionalism and the separation of powers.</w:t>
      </w:r>
    </w:p>
  </w:footnote>
  <w:footnote w:id="4">
    <w:p w14:paraId="1A45A61C" w14:textId="77777777" w:rsidR="000F6DF8" w:rsidRDefault="000F6DF8" w:rsidP="000F6DF8">
      <w:pPr>
        <w:pStyle w:val="FootnoteText"/>
      </w:pPr>
      <w:r>
        <w:rPr>
          <w:rStyle w:val="FootnoteReference"/>
          <w:rFonts w:eastAsiaTheme="majorEastAsia"/>
        </w:rPr>
        <w:footnoteRef/>
      </w:r>
      <w:r>
        <w:t xml:space="preserve"> Montesquieu. 1877. De la constitution d’ Angleterre. (Translated into English). </w:t>
      </w:r>
    </w:p>
  </w:footnote>
  <w:footnote w:id="5">
    <w:p w14:paraId="7D023A63" w14:textId="77777777" w:rsidR="000F6DF8" w:rsidRDefault="000F6DF8" w:rsidP="000F6DF8">
      <w:pPr>
        <w:pStyle w:val="FootnoteText"/>
      </w:pPr>
      <w:r>
        <w:rPr>
          <w:rStyle w:val="FootnoteReference"/>
          <w:rFonts w:eastAsiaTheme="majorEastAsia"/>
        </w:rPr>
        <w:footnoteRef/>
      </w:r>
      <w:r>
        <w:t xml:space="preserve"> The Constitution of the Republic of South Africa, 1996</w:t>
      </w:r>
    </w:p>
  </w:footnote>
  <w:footnote w:id="6">
    <w:p w14:paraId="5986ED56" w14:textId="77777777" w:rsidR="000F6DF8" w:rsidRDefault="000F6DF8" w:rsidP="000F6DF8">
      <w:pPr>
        <w:pStyle w:val="FootnoteText"/>
      </w:pPr>
      <w:r>
        <w:rPr>
          <w:rStyle w:val="FootnoteReference"/>
          <w:rFonts w:eastAsiaTheme="majorEastAsia"/>
        </w:rPr>
        <w:footnoteRef/>
      </w:r>
      <w:r>
        <w:t xml:space="preserve"> Financial Management Act of Parliament, Act no 10 of 2009</w:t>
      </w:r>
    </w:p>
  </w:footnote>
  <w:footnote w:id="7">
    <w:p w14:paraId="284BE25F" w14:textId="77777777" w:rsidR="000F6DF8" w:rsidRPr="007E7442" w:rsidRDefault="000F6DF8" w:rsidP="000F6DF8">
      <w:pPr>
        <w:pStyle w:val="FootnoteText"/>
        <w:rPr>
          <w:lang w:val="en-ZA"/>
        </w:rPr>
      </w:pPr>
      <w:r>
        <w:rPr>
          <w:rStyle w:val="FootnoteReference"/>
        </w:rPr>
        <w:footnoteRef/>
      </w:r>
      <w:r>
        <w:t xml:space="preserve"> </w:t>
      </w:r>
      <w:r>
        <w:rPr>
          <w:lang w:val="en-ZA"/>
        </w:rPr>
        <w:t>UNDP. Parliament’s role in implementing the Sustainable Development Goals. A Parliamentary Handbook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9985" w14:textId="78B0FDB2" w:rsidR="00EE6442" w:rsidRPr="00EE6442" w:rsidRDefault="00EE6442">
    <w:pPr>
      <w:pStyle w:val="Header"/>
      <w:rPr>
        <w:rFonts w:ascii="Arial" w:hAnsi="Arial" w:cs="Arial"/>
        <w:b/>
        <w:bCs/>
        <w:color w:val="8B4115"/>
        <w:sz w:val="18"/>
        <w:szCs w:val="18"/>
      </w:rPr>
    </w:pPr>
    <w:r w:rsidRPr="00EE6442">
      <w:rPr>
        <w:rFonts w:ascii="Arial" w:hAnsi="Arial" w:cs="Arial"/>
        <w:b/>
        <w:bCs/>
        <w:noProof/>
        <w:color w:val="1F4B23"/>
        <w:sz w:val="18"/>
        <w:szCs w:val="18"/>
      </w:rPr>
      <w:drawing>
        <wp:anchor distT="0" distB="0" distL="114300" distR="114300" simplePos="0" relativeHeight="251659264" behindDoc="1" locked="0" layoutInCell="1" allowOverlap="0" wp14:anchorId="3016902B" wp14:editId="1DB99BF0">
          <wp:simplePos x="0" y="0"/>
          <wp:positionH relativeFrom="column">
            <wp:posOffset>-914400</wp:posOffset>
          </wp:positionH>
          <wp:positionV relativeFrom="page">
            <wp:posOffset>282897</wp:posOffset>
          </wp:positionV>
          <wp:extent cx="7560860" cy="432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860" cy="432185"/>
                  </a:xfrm>
                  <a:prstGeom prst="rect">
                    <a:avLst/>
                  </a:prstGeom>
                </pic:spPr>
              </pic:pic>
            </a:graphicData>
          </a:graphic>
          <wp14:sizeRelH relativeFrom="page">
            <wp14:pctWidth>0</wp14:pctWidth>
          </wp14:sizeRelH>
          <wp14:sizeRelV relativeFrom="page">
            <wp14:pctHeight>0</wp14:pctHeight>
          </wp14:sizeRelV>
        </wp:anchor>
      </w:drawing>
    </w:r>
    <w:r w:rsidR="00417A7E">
      <w:rPr>
        <w:rFonts w:ascii="Arial" w:hAnsi="Arial" w:cs="Arial"/>
        <w:b/>
        <w:bCs/>
        <w:noProof/>
        <w:color w:val="1F4B23"/>
        <w:sz w:val="18"/>
        <w:szCs w:val="18"/>
      </w:rPr>
      <w:t>R</w:t>
    </w:r>
    <w:r w:rsidR="000F6DF8">
      <w:rPr>
        <w:rFonts w:ascii="Arial" w:hAnsi="Arial" w:cs="Arial"/>
        <w:b/>
        <w:bCs/>
        <w:noProof/>
        <w:color w:val="1F4B23"/>
        <w:sz w:val="18"/>
        <w:szCs w:val="18"/>
      </w:rPr>
      <w:t>ESEARCH ANALYSIS| ANNUAL REPORT OF THE GAUTENG PROVINCIAL LEGISLATURE 2022/23 FY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33BF" w14:textId="484056B8" w:rsidR="00EE6442" w:rsidRDefault="00EE6442">
    <w:pPr>
      <w:pStyle w:val="Header"/>
    </w:pPr>
    <w:r>
      <w:rPr>
        <w:noProof/>
      </w:rPr>
      <w:drawing>
        <wp:anchor distT="0" distB="0" distL="114300" distR="114300" simplePos="0" relativeHeight="251658240" behindDoc="1" locked="0" layoutInCell="1" allowOverlap="0" wp14:anchorId="674BADE7" wp14:editId="1A68CE03">
          <wp:simplePos x="0" y="0"/>
          <wp:positionH relativeFrom="column">
            <wp:posOffset>-900430</wp:posOffset>
          </wp:positionH>
          <wp:positionV relativeFrom="page">
            <wp:posOffset>-34290</wp:posOffset>
          </wp:positionV>
          <wp:extent cx="7547212" cy="10737711"/>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7212" cy="107377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D95"/>
    <w:multiLevelType w:val="hybridMultilevel"/>
    <w:tmpl w:val="5F8E384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C2D4449"/>
    <w:multiLevelType w:val="multilevel"/>
    <w:tmpl w:val="C9206454"/>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7B349A"/>
    <w:multiLevelType w:val="hybridMultilevel"/>
    <w:tmpl w:val="339AF230"/>
    <w:lvl w:ilvl="0" w:tplc="6630D2B6">
      <w:start w:val="1"/>
      <w:numFmt w:val="bullet"/>
      <w:lvlText w:val=""/>
      <w:lvlJc w:val="left"/>
      <w:pPr>
        <w:ind w:left="840" w:hanging="360"/>
      </w:pPr>
      <w:rPr>
        <w:rFonts w:ascii="Symbol" w:hAnsi="Symbol" w:hint="default"/>
      </w:rPr>
    </w:lvl>
    <w:lvl w:ilvl="1" w:tplc="1C090003" w:tentative="1">
      <w:start w:val="1"/>
      <w:numFmt w:val="bullet"/>
      <w:lvlText w:val="o"/>
      <w:lvlJc w:val="left"/>
      <w:pPr>
        <w:ind w:left="1560" w:hanging="360"/>
      </w:pPr>
      <w:rPr>
        <w:rFonts w:ascii="Courier New" w:hAnsi="Courier New" w:cs="Courier New" w:hint="default"/>
      </w:rPr>
    </w:lvl>
    <w:lvl w:ilvl="2" w:tplc="1C090005" w:tentative="1">
      <w:start w:val="1"/>
      <w:numFmt w:val="bullet"/>
      <w:lvlText w:val=""/>
      <w:lvlJc w:val="left"/>
      <w:pPr>
        <w:ind w:left="2280" w:hanging="360"/>
      </w:pPr>
      <w:rPr>
        <w:rFonts w:ascii="Wingdings" w:hAnsi="Wingdings" w:hint="default"/>
      </w:rPr>
    </w:lvl>
    <w:lvl w:ilvl="3" w:tplc="1C090001" w:tentative="1">
      <w:start w:val="1"/>
      <w:numFmt w:val="bullet"/>
      <w:lvlText w:val=""/>
      <w:lvlJc w:val="left"/>
      <w:pPr>
        <w:ind w:left="3000" w:hanging="360"/>
      </w:pPr>
      <w:rPr>
        <w:rFonts w:ascii="Symbol" w:hAnsi="Symbol" w:hint="default"/>
      </w:rPr>
    </w:lvl>
    <w:lvl w:ilvl="4" w:tplc="1C090003" w:tentative="1">
      <w:start w:val="1"/>
      <w:numFmt w:val="bullet"/>
      <w:lvlText w:val="o"/>
      <w:lvlJc w:val="left"/>
      <w:pPr>
        <w:ind w:left="3720" w:hanging="360"/>
      </w:pPr>
      <w:rPr>
        <w:rFonts w:ascii="Courier New" w:hAnsi="Courier New" w:cs="Courier New" w:hint="default"/>
      </w:rPr>
    </w:lvl>
    <w:lvl w:ilvl="5" w:tplc="1C090005" w:tentative="1">
      <w:start w:val="1"/>
      <w:numFmt w:val="bullet"/>
      <w:lvlText w:val=""/>
      <w:lvlJc w:val="left"/>
      <w:pPr>
        <w:ind w:left="4440" w:hanging="360"/>
      </w:pPr>
      <w:rPr>
        <w:rFonts w:ascii="Wingdings" w:hAnsi="Wingdings" w:hint="default"/>
      </w:rPr>
    </w:lvl>
    <w:lvl w:ilvl="6" w:tplc="1C090001" w:tentative="1">
      <w:start w:val="1"/>
      <w:numFmt w:val="bullet"/>
      <w:lvlText w:val=""/>
      <w:lvlJc w:val="left"/>
      <w:pPr>
        <w:ind w:left="5160" w:hanging="360"/>
      </w:pPr>
      <w:rPr>
        <w:rFonts w:ascii="Symbol" w:hAnsi="Symbol" w:hint="default"/>
      </w:rPr>
    </w:lvl>
    <w:lvl w:ilvl="7" w:tplc="1C090003" w:tentative="1">
      <w:start w:val="1"/>
      <w:numFmt w:val="bullet"/>
      <w:lvlText w:val="o"/>
      <w:lvlJc w:val="left"/>
      <w:pPr>
        <w:ind w:left="5880" w:hanging="360"/>
      </w:pPr>
      <w:rPr>
        <w:rFonts w:ascii="Courier New" w:hAnsi="Courier New" w:cs="Courier New" w:hint="default"/>
      </w:rPr>
    </w:lvl>
    <w:lvl w:ilvl="8" w:tplc="1C090005" w:tentative="1">
      <w:start w:val="1"/>
      <w:numFmt w:val="bullet"/>
      <w:lvlText w:val=""/>
      <w:lvlJc w:val="left"/>
      <w:pPr>
        <w:ind w:left="6600" w:hanging="360"/>
      </w:pPr>
      <w:rPr>
        <w:rFonts w:ascii="Wingdings" w:hAnsi="Wingdings" w:hint="default"/>
      </w:rPr>
    </w:lvl>
  </w:abstractNum>
  <w:abstractNum w:abstractNumId="3" w15:restartNumberingAfterBreak="0">
    <w:nsid w:val="1E501B02"/>
    <w:multiLevelType w:val="hybridMultilevel"/>
    <w:tmpl w:val="BADADC06"/>
    <w:lvl w:ilvl="0" w:tplc="1C090017">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2942EE0"/>
    <w:multiLevelType w:val="hybridMultilevel"/>
    <w:tmpl w:val="91C007B8"/>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5" w15:restartNumberingAfterBreak="0">
    <w:nsid w:val="27813160"/>
    <w:multiLevelType w:val="hybridMultilevel"/>
    <w:tmpl w:val="B3983B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128064A"/>
    <w:multiLevelType w:val="multilevel"/>
    <w:tmpl w:val="4536802C"/>
    <w:lvl w:ilvl="0">
      <w:start w:val="1"/>
      <w:numFmt w:val="decimal"/>
      <w:lvlText w:val="%1."/>
      <w:lvlJc w:val="left"/>
      <w:pPr>
        <w:ind w:left="720" w:hanging="36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60" w:hanging="1800"/>
      </w:pPr>
      <w:rPr>
        <w:rFonts w:hint="default"/>
      </w:rPr>
    </w:lvl>
  </w:abstractNum>
  <w:abstractNum w:abstractNumId="7" w15:restartNumberingAfterBreak="0">
    <w:nsid w:val="32E529A9"/>
    <w:multiLevelType w:val="hybridMultilevel"/>
    <w:tmpl w:val="5DA045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C333036"/>
    <w:multiLevelType w:val="hybridMultilevel"/>
    <w:tmpl w:val="2988B8F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E33769B"/>
    <w:multiLevelType w:val="hybridMultilevel"/>
    <w:tmpl w:val="C186A5CA"/>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43497E44"/>
    <w:multiLevelType w:val="hybridMultilevel"/>
    <w:tmpl w:val="B38486D0"/>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4C4D616B"/>
    <w:multiLevelType w:val="hybridMultilevel"/>
    <w:tmpl w:val="F4A4C6BA"/>
    <w:lvl w:ilvl="0" w:tplc="1C09000D">
      <w:start w:val="1"/>
      <w:numFmt w:val="bullet"/>
      <w:lvlText w:val=""/>
      <w:lvlJc w:val="left"/>
      <w:pPr>
        <w:ind w:left="842" w:hanging="360"/>
      </w:pPr>
      <w:rPr>
        <w:rFonts w:ascii="Wingdings" w:hAnsi="Wingdings" w:hint="default"/>
      </w:rPr>
    </w:lvl>
    <w:lvl w:ilvl="1" w:tplc="1C090003" w:tentative="1">
      <w:start w:val="1"/>
      <w:numFmt w:val="bullet"/>
      <w:lvlText w:val="o"/>
      <w:lvlJc w:val="left"/>
      <w:pPr>
        <w:ind w:left="1562" w:hanging="360"/>
      </w:pPr>
      <w:rPr>
        <w:rFonts w:ascii="Courier New" w:hAnsi="Courier New" w:cs="Courier New" w:hint="default"/>
      </w:rPr>
    </w:lvl>
    <w:lvl w:ilvl="2" w:tplc="1C090005" w:tentative="1">
      <w:start w:val="1"/>
      <w:numFmt w:val="bullet"/>
      <w:lvlText w:val=""/>
      <w:lvlJc w:val="left"/>
      <w:pPr>
        <w:ind w:left="2282" w:hanging="360"/>
      </w:pPr>
      <w:rPr>
        <w:rFonts w:ascii="Wingdings" w:hAnsi="Wingdings" w:hint="default"/>
      </w:rPr>
    </w:lvl>
    <w:lvl w:ilvl="3" w:tplc="1C090001" w:tentative="1">
      <w:start w:val="1"/>
      <w:numFmt w:val="bullet"/>
      <w:lvlText w:val=""/>
      <w:lvlJc w:val="left"/>
      <w:pPr>
        <w:ind w:left="3002" w:hanging="360"/>
      </w:pPr>
      <w:rPr>
        <w:rFonts w:ascii="Symbol" w:hAnsi="Symbol" w:hint="default"/>
      </w:rPr>
    </w:lvl>
    <w:lvl w:ilvl="4" w:tplc="1C090003" w:tentative="1">
      <w:start w:val="1"/>
      <w:numFmt w:val="bullet"/>
      <w:lvlText w:val="o"/>
      <w:lvlJc w:val="left"/>
      <w:pPr>
        <w:ind w:left="3722" w:hanging="360"/>
      </w:pPr>
      <w:rPr>
        <w:rFonts w:ascii="Courier New" w:hAnsi="Courier New" w:cs="Courier New" w:hint="default"/>
      </w:rPr>
    </w:lvl>
    <w:lvl w:ilvl="5" w:tplc="1C090005" w:tentative="1">
      <w:start w:val="1"/>
      <w:numFmt w:val="bullet"/>
      <w:lvlText w:val=""/>
      <w:lvlJc w:val="left"/>
      <w:pPr>
        <w:ind w:left="4442" w:hanging="360"/>
      </w:pPr>
      <w:rPr>
        <w:rFonts w:ascii="Wingdings" w:hAnsi="Wingdings" w:hint="default"/>
      </w:rPr>
    </w:lvl>
    <w:lvl w:ilvl="6" w:tplc="1C090001" w:tentative="1">
      <w:start w:val="1"/>
      <w:numFmt w:val="bullet"/>
      <w:lvlText w:val=""/>
      <w:lvlJc w:val="left"/>
      <w:pPr>
        <w:ind w:left="5162" w:hanging="360"/>
      </w:pPr>
      <w:rPr>
        <w:rFonts w:ascii="Symbol" w:hAnsi="Symbol" w:hint="default"/>
      </w:rPr>
    </w:lvl>
    <w:lvl w:ilvl="7" w:tplc="1C090003" w:tentative="1">
      <w:start w:val="1"/>
      <w:numFmt w:val="bullet"/>
      <w:lvlText w:val="o"/>
      <w:lvlJc w:val="left"/>
      <w:pPr>
        <w:ind w:left="5882" w:hanging="360"/>
      </w:pPr>
      <w:rPr>
        <w:rFonts w:ascii="Courier New" w:hAnsi="Courier New" w:cs="Courier New" w:hint="default"/>
      </w:rPr>
    </w:lvl>
    <w:lvl w:ilvl="8" w:tplc="1C090005" w:tentative="1">
      <w:start w:val="1"/>
      <w:numFmt w:val="bullet"/>
      <w:lvlText w:val=""/>
      <w:lvlJc w:val="left"/>
      <w:pPr>
        <w:ind w:left="6602" w:hanging="360"/>
      </w:pPr>
      <w:rPr>
        <w:rFonts w:ascii="Wingdings" w:hAnsi="Wingdings" w:hint="default"/>
      </w:rPr>
    </w:lvl>
  </w:abstractNum>
  <w:abstractNum w:abstractNumId="12" w15:restartNumberingAfterBreak="0">
    <w:nsid w:val="500B71D1"/>
    <w:multiLevelType w:val="multilevel"/>
    <w:tmpl w:val="DBCA7AB6"/>
    <w:lvl w:ilvl="0">
      <w:start w:val="1"/>
      <w:numFmt w:val="decimal"/>
      <w:lvlText w:val="%1."/>
      <w:lvlJc w:val="left"/>
      <w:pPr>
        <w:ind w:left="720" w:hanging="360"/>
      </w:pPr>
      <w:rPr>
        <w:rFonts w:hint="default"/>
        <w:b/>
        <w:bCs/>
        <w:color w:val="auto"/>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09820DA"/>
    <w:multiLevelType w:val="hybridMultilevel"/>
    <w:tmpl w:val="EC8A0B7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FB66D6D"/>
    <w:multiLevelType w:val="hybridMultilevel"/>
    <w:tmpl w:val="6D2243B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CE65900"/>
    <w:multiLevelType w:val="hybridMultilevel"/>
    <w:tmpl w:val="F06618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34899348">
    <w:abstractNumId w:val="8"/>
  </w:num>
  <w:num w:numId="2" w16cid:durableId="1741950387">
    <w:abstractNumId w:val="2"/>
  </w:num>
  <w:num w:numId="3" w16cid:durableId="1309244777">
    <w:abstractNumId w:val="1"/>
  </w:num>
  <w:num w:numId="4" w16cid:durableId="1777098422">
    <w:abstractNumId w:val="13"/>
  </w:num>
  <w:num w:numId="5" w16cid:durableId="1075710756">
    <w:abstractNumId w:val="7"/>
  </w:num>
  <w:num w:numId="6" w16cid:durableId="460923934">
    <w:abstractNumId w:val="6"/>
  </w:num>
  <w:num w:numId="7" w16cid:durableId="1466584683">
    <w:abstractNumId w:val="11"/>
  </w:num>
  <w:num w:numId="8" w16cid:durableId="181632257">
    <w:abstractNumId w:val="15"/>
  </w:num>
  <w:num w:numId="9" w16cid:durableId="1480490206">
    <w:abstractNumId w:val="9"/>
  </w:num>
  <w:num w:numId="10" w16cid:durableId="514148677">
    <w:abstractNumId w:val="10"/>
  </w:num>
  <w:num w:numId="11" w16cid:durableId="600796633">
    <w:abstractNumId w:val="4"/>
  </w:num>
  <w:num w:numId="12" w16cid:durableId="18239829">
    <w:abstractNumId w:val="12"/>
  </w:num>
  <w:num w:numId="13" w16cid:durableId="1735348875">
    <w:abstractNumId w:val="5"/>
  </w:num>
  <w:num w:numId="14" w16cid:durableId="1637177832">
    <w:abstractNumId w:val="0"/>
  </w:num>
  <w:num w:numId="15" w16cid:durableId="1492283997">
    <w:abstractNumId w:val="14"/>
  </w:num>
  <w:num w:numId="16" w16cid:durableId="77864534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MzExMTU1NTA2NrBU0lEKTi0uzszPAykwrAUAWJneXCwAAAA="/>
  </w:docVars>
  <w:rsids>
    <w:rsidRoot w:val="00EE6442"/>
    <w:rsid w:val="000457E3"/>
    <w:rsid w:val="00071D8B"/>
    <w:rsid w:val="00084157"/>
    <w:rsid w:val="000918DC"/>
    <w:rsid w:val="000A7603"/>
    <w:rsid w:val="000B66D3"/>
    <w:rsid w:val="000C6979"/>
    <w:rsid w:val="000D68AD"/>
    <w:rsid w:val="000F6DF8"/>
    <w:rsid w:val="00135428"/>
    <w:rsid w:val="001518D9"/>
    <w:rsid w:val="00181C3F"/>
    <w:rsid w:val="00183121"/>
    <w:rsid w:val="00194674"/>
    <w:rsid w:val="001A5024"/>
    <w:rsid w:val="001B4838"/>
    <w:rsid w:val="001C4AD5"/>
    <w:rsid w:val="001D30CA"/>
    <w:rsid w:val="002020FD"/>
    <w:rsid w:val="00213D3C"/>
    <w:rsid w:val="002210B4"/>
    <w:rsid w:val="00221874"/>
    <w:rsid w:val="00224263"/>
    <w:rsid w:val="00230DC4"/>
    <w:rsid w:val="0023355C"/>
    <w:rsid w:val="00264C9D"/>
    <w:rsid w:val="00272FAB"/>
    <w:rsid w:val="00277B9E"/>
    <w:rsid w:val="002A0B31"/>
    <w:rsid w:val="002C3488"/>
    <w:rsid w:val="00306F7A"/>
    <w:rsid w:val="003133D3"/>
    <w:rsid w:val="00316499"/>
    <w:rsid w:val="003365D9"/>
    <w:rsid w:val="00351C62"/>
    <w:rsid w:val="00391DD5"/>
    <w:rsid w:val="003E0E57"/>
    <w:rsid w:val="003F32C8"/>
    <w:rsid w:val="00412D50"/>
    <w:rsid w:val="00417A7E"/>
    <w:rsid w:val="00456B7C"/>
    <w:rsid w:val="00484484"/>
    <w:rsid w:val="00490827"/>
    <w:rsid w:val="004A077C"/>
    <w:rsid w:val="004D3329"/>
    <w:rsid w:val="004D3D35"/>
    <w:rsid w:val="004F1911"/>
    <w:rsid w:val="00501600"/>
    <w:rsid w:val="005607C8"/>
    <w:rsid w:val="005748FF"/>
    <w:rsid w:val="00575888"/>
    <w:rsid w:val="0057641F"/>
    <w:rsid w:val="00583527"/>
    <w:rsid w:val="005B028C"/>
    <w:rsid w:val="005D3B80"/>
    <w:rsid w:val="005D527A"/>
    <w:rsid w:val="005D77E0"/>
    <w:rsid w:val="005E0D34"/>
    <w:rsid w:val="005F3E13"/>
    <w:rsid w:val="006147A1"/>
    <w:rsid w:val="0062555F"/>
    <w:rsid w:val="00630590"/>
    <w:rsid w:val="00654AF8"/>
    <w:rsid w:val="00671234"/>
    <w:rsid w:val="00672B04"/>
    <w:rsid w:val="00675FD3"/>
    <w:rsid w:val="0069752C"/>
    <w:rsid w:val="006A64E7"/>
    <w:rsid w:val="006B79A7"/>
    <w:rsid w:val="006D3B7A"/>
    <w:rsid w:val="006F2D47"/>
    <w:rsid w:val="0072557A"/>
    <w:rsid w:val="00792624"/>
    <w:rsid w:val="007E194E"/>
    <w:rsid w:val="007E62E7"/>
    <w:rsid w:val="007F0145"/>
    <w:rsid w:val="008014C6"/>
    <w:rsid w:val="00846F04"/>
    <w:rsid w:val="00872EF7"/>
    <w:rsid w:val="00876DA8"/>
    <w:rsid w:val="00877EB7"/>
    <w:rsid w:val="00892EA2"/>
    <w:rsid w:val="008A69CC"/>
    <w:rsid w:val="008A7894"/>
    <w:rsid w:val="008C07E9"/>
    <w:rsid w:val="008D2691"/>
    <w:rsid w:val="008E4411"/>
    <w:rsid w:val="008E54DF"/>
    <w:rsid w:val="008E6D14"/>
    <w:rsid w:val="008F5563"/>
    <w:rsid w:val="009124FB"/>
    <w:rsid w:val="009336E9"/>
    <w:rsid w:val="00943477"/>
    <w:rsid w:val="0099608D"/>
    <w:rsid w:val="009A1083"/>
    <w:rsid w:val="009D6D54"/>
    <w:rsid w:val="00A0016E"/>
    <w:rsid w:val="00A01059"/>
    <w:rsid w:val="00A11FF8"/>
    <w:rsid w:val="00A13A95"/>
    <w:rsid w:val="00A257A8"/>
    <w:rsid w:val="00A34A1C"/>
    <w:rsid w:val="00A4501C"/>
    <w:rsid w:val="00A52340"/>
    <w:rsid w:val="00A54AAF"/>
    <w:rsid w:val="00A63A17"/>
    <w:rsid w:val="00A67C08"/>
    <w:rsid w:val="00A75668"/>
    <w:rsid w:val="00B70839"/>
    <w:rsid w:val="00B9090C"/>
    <w:rsid w:val="00B91677"/>
    <w:rsid w:val="00BC08A1"/>
    <w:rsid w:val="00BC266C"/>
    <w:rsid w:val="00C349C6"/>
    <w:rsid w:val="00C378A5"/>
    <w:rsid w:val="00C6430D"/>
    <w:rsid w:val="00C64F5E"/>
    <w:rsid w:val="00CA2A94"/>
    <w:rsid w:val="00CC17CB"/>
    <w:rsid w:val="00CC5182"/>
    <w:rsid w:val="00CF6124"/>
    <w:rsid w:val="00D209C3"/>
    <w:rsid w:val="00D4064A"/>
    <w:rsid w:val="00D6078B"/>
    <w:rsid w:val="00D70C89"/>
    <w:rsid w:val="00D7317A"/>
    <w:rsid w:val="00D837CF"/>
    <w:rsid w:val="00DA33A0"/>
    <w:rsid w:val="00DB3726"/>
    <w:rsid w:val="00DD19D6"/>
    <w:rsid w:val="00DD6982"/>
    <w:rsid w:val="00E238A3"/>
    <w:rsid w:val="00E25763"/>
    <w:rsid w:val="00E31CF9"/>
    <w:rsid w:val="00E63A0D"/>
    <w:rsid w:val="00EC4D5D"/>
    <w:rsid w:val="00EC5D60"/>
    <w:rsid w:val="00ED4195"/>
    <w:rsid w:val="00ED5AA0"/>
    <w:rsid w:val="00EE6442"/>
    <w:rsid w:val="00F06A73"/>
    <w:rsid w:val="00F1482A"/>
    <w:rsid w:val="00F21F0E"/>
    <w:rsid w:val="00F34AA7"/>
    <w:rsid w:val="00F474C1"/>
    <w:rsid w:val="00FB1505"/>
    <w:rsid w:val="00FB50E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3EB6A"/>
  <w15:docId w15:val="{D92EB662-A19B-4E83-9DAB-820253ED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DF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6DF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6DF8"/>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442"/>
    <w:pPr>
      <w:tabs>
        <w:tab w:val="center" w:pos="4513"/>
        <w:tab w:val="right" w:pos="9026"/>
      </w:tabs>
    </w:pPr>
  </w:style>
  <w:style w:type="character" w:customStyle="1" w:styleId="HeaderChar">
    <w:name w:val="Header Char"/>
    <w:basedOn w:val="DefaultParagraphFont"/>
    <w:link w:val="Header"/>
    <w:uiPriority w:val="99"/>
    <w:rsid w:val="00EE6442"/>
  </w:style>
  <w:style w:type="paragraph" w:styleId="Footer">
    <w:name w:val="footer"/>
    <w:basedOn w:val="Normal"/>
    <w:link w:val="FooterChar"/>
    <w:uiPriority w:val="99"/>
    <w:unhideWhenUsed/>
    <w:rsid w:val="00EE6442"/>
    <w:pPr>
      <w:tabs>
        <w:tab w:val="center" w:pos="4513"/>
        <w:tab w:val="right" w:pos="9026"/>
      </w:tabs>
    </w:pPr>
  </w:style>
  <w:style w:type="character" w:customStyle="1" w:styleId="FooterChar">
    <w:name w:val="Footer Char"/>
    <w:basedOn w:val="DefaultParagraphFont"/>
    <w:link w:val="Footer"/>
    <w:uiPriority w:val="99"/>
    <w:rsid w:val="00EE6442"/>
  </w:style>
  <w:style w:type="table" w:styleId="TableGrid">
    <w:name w:val="Table Grid"/>
    <w:basedOn w:val="TableNormal"/>
    <w:uiPriority w:val="59"/>
    <w:rsid w:val="00417A7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417A7E"/>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rsid w:val="00417A7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417A7E"/>
    <w:rPr>
      <w:vertAlign w:val="superscript"/>
    </w:rPr>
  </w:style>
  <w:style w:type="table" w:customStyle="1" w:styleId="PlainTable51">
    <w:name w:val="Plain Table 51"/>
    <w:basedOn w:val="TableNormal"/>
    <w:next w:val="PlainTable5"/>
    <w:uiPriority w:val="45"/>
    <w:rsid w:val="00417A7E"/>
    <w:rPr>
      <w:rFonts w:eastAsia="Times New Roman"/>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6">
    <w:name w:val="Grid Table 4 Accent 6"/>
    <w:basedOn w:val="TableNormal"/>
    <w:uiPriority w:val="49"/>
    <w:rsid w:val="00417A7E"/>
    <w:rPr>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5">
    <w:name w:val="Plain Table 5"/>
    <w:basedOn w:val="TableNormal"/>
    <w:uiPriority w:val="45"/>
    <w:rsid w:val="00417A7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1">
    <w:name w:val="toc 1"/>
    <w:basedOn w:val="Normal"/>
    <w:next w:val="Normal"/>
    <w:autoRedefine/>
    <w:uiPriority w:val="39"/>
    <w:unhideWhenUsed/>
    <w:rsid w:val="00417A7E"/>
    <w:pPr>
      <w:spacing w:after="100"/>
    </w:pPr>
  </w:style>
  <w:style w:type="paragraph" w:styleId="TOC2">
    <w:name w:val="toc 2"/>
    <w:basedOn w:val="Normal"/>
    <w:next w:val="Normal"/>
    <w:autoRedefine/>
    <w:uiPriority w:val="39"/>
    <w:unhideWhenUsed/>
    <w:rsid w:val="00417A7E"/>
    <w:pPr>
      <w:spacing w:after="100"/>
      <w:ind w:left="240"/>
    </w:pPr>
  </w:style>
  <w:style w:type="paragraph" w:styleId="TOC3">
    <w:name w:val="toc 3"/>
    <w:basedOn w:val="Normal"/>
    <w:next w:val="Normal"/>
    <w:autoRedefine/>
    <w:uiPriority w:val="39"/>
    <w:unhideWhenUsed/>
    <w:rsid w:val="00417A7E"/>
    <w:pPr>
      <w:spacing w:after="100"/>
      <w:ind w:left="480"/>
    </w:pPr>
  </w:style>
  <w:style w:type="character" w:styleId="Hyperlink">
    <w:name w:val="Hyperlink"/>
    <w:basedOn w:val="DefaultParagraphFont"/>
    <w:uiPriority w:val="99"/>
    <w:unhideWhenUsed/>
    <w:rsid w:val="00417A7E"/>
    <w:rPr>
      <w:color w:val="0563C1" w:themeColor="hyperlink"/>
      <w:u w:val="single"/>
    </w:rPr>
  </w:style>
  <w:style w:type="paragraph" w:styleId="ListParagraph">
    <w:name w:val="List Paragraph"/>
    <w:basedOn w:val="Normal"/>
    <w:uiPriority w:val="34"/>
    <w:qFormat/>
    <w:rsid w:val="001A5024"/>
    <w:pPr>
      <w:ind w:left="720"/>
      <w:contextualSpacing/>
    </w:pPr>
  </w:style>
  <w:style w:type="character" w:styleId="CommentReference">
    <w:name w:val="annotation reference"/>
    <w:basedOn w:val="DefaultParagraphFont"/>
    <w:uiPriority w:val="99"/>
    <w:semiHidden/>
    <w:unhideWhenUsed/>
    <w:rsid w:val="00213D3C"/>
    <w:rPr>
      <w:sz w:val="16"/>
      <w:szCs w:val="16"/>
    </w:rPr>
  </w:style>
  <w:style w:type="paragraph" w:styleId="CommentText">
    <w:name w:val="annotation text"/>
    <w:basedOn w:val="Normal"/>
    <w:link w:val="CommentTextChar"/>
    <w:uiPriority w:val="99"/>
    <w:unhideWhenUsed/>
    <w:rsid w:val="00213D3C"/>
    <w:rPr>
      <w:sz w:val="20"/>
      <w:szCs w:val="20"/>
    </w:rPr>
  </w:style>
  <w:style w:type="character" w:customStyle="1" w:styleId="CommentTextChar">
    <w:name w:val="Comment Text Char"/>
    <w:basedOn w:val="DefaultParagraphFont"/>
    <w:link w:val="CommentText"/>
    <w:uiPriority w:val="99"/>
    <w:rsid w:val="00213D3C"/>
    <w:rPr>
      <w:sz w:val="20"/>
      <w:szCs w:val="20"/>
    </w:rPr>
  </w:style>
  <w:style w:type="paragraph" w:styleId="CommentSubject">
    <w:name w:val="annotation subject"/>
    <w:basedOn w:val="CommentText"/>
    <w:next w:val="CommentText"/>
    <w:link w:val="CommentSubjectChar"/>
    <w:uiPriority w:val="99"/>
    <w:semiHidden/>
    <w:unhideWhenUsed/>
    <w:rsid w:val="00213D3C"/>
    <w:rPr>
      <w:b/>
      <w:bCs/>
    </w:rPr>
  </w:style>
  <w:style w:type="character" w:customStyle="1" w:styleId="CommentSubjectChar">
    <w:name w:val="Comment Subject Char"/>
    <w:basedOn w:val="CommentTextChar"/>
    <w:link w:val="CommentSubject"/>
    <w:uiPriority w:val="99"/>
    <w:semiHidden/>
    <w:rsid w:val="00213D3C"/>
    <w:rPr>
      <w:b/>
      <w:bCs/>
      <w:sz w:val="20"/>
      <w:szCs w:val="20"/>
    </w:rPr>
  </w:style>
  <w:style w:type="paragraph" w:customStyle="1" w:styleId="Default">
    <w:name w:val="Default"/>
    <w:rsid w:val="00877EB7"/>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0F6D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F6D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F6DF8"/>
    <w:rPr>
      <w:rFonts w:asciiTheme="majorHAnsi" w:eastAsiaTheme="majorEastAsia" w:hAnsiTheme="majorHAnsi" w:cstheme="majorBidi"/>
      <w:color w:val="1F3763" w:themeColor="accent1" w:themeShade="7F"/>
    </w:rPr>
  </w:style>
  <w:style w:type="paragraph" w:styleId="Revision">
    <w:name w:val="Revision"/>
    <w:hidden/>
    <w:uiPriority w:val="99"/>
    <w:semiHidden/>
    <w:rsid w:val="000F6DF8"/>
    <w:rPr>
      <w:sz w:val="22"/>
      <w:szCs w:val="22"/>
    </w:rPr>
  </w:style>
  <w:style w:type="paragraph" w:styleId="TOCHeading">
    <w:name w:val="TOC Heading"/>
    <w:basedOn w:val="Heading1"/>
    <w:next w:val="Normal"/>
    <w:uiPriority w:val="39"/>
    <w:unhideWhenUsed/>
    <w:qFormat/>
    <w:rsid w:val="000F6DF8"/>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49607">
      <w:bodyDiv w:val="1"/>
      <w:marLeft w:val="0"/>
      <w:marRight w:val="0"/>
      <w:marTop w:val="0"/>
      <w:marBottom w:val="0"/>
      <w:divBdr>
        <w:top w:val="none" w:sz="0" w:space="0" w:color="auto"/>
        <w:left w:val="none" w:sz="0" w:space="0" w:color="auto"/>
        <w:bottom w:val="none" w:sz="0" w:space="0" w:color="auto"/>
        <w:right w:val="none" w:sz="0" w:space="0" w:color="auto"/>
      </w:divBdr>
    </w:div>
    <w:div w:id="1646811383">
      <w:bodyDiv w:val="1"/>
      <w:marLeft w:val="0"/>
      <w:marRight w:val="0"/>
      <w:marTop w:val="0"/>
      <w:marBottom w:val="0"/>
      <w:divBdr>
        <w:top w:val="none" w:sz="0" w:space="0" w:color="auto"/>
        <w:left w:val="none" w:sz="0" w:space="0" w:color="auto"/>
        <w:bottom w:val="none" w:sz="0" w:space="0" w:color="auto"/>
        <w:right w:val="none" w:sz="0" w:space="0" w:color="auto"/>
      </w:divBdr>
    </w:div>
    <w:div w:id="2141723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6131</Words>
  <Characters>35258</Characters>
  <Application>Microsoft Office Word</Application>
  <DocSecurity>0</DocSecurity>
  <Lines>783</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Leene Mogobe</dc:creator>
  <cp:keywords/>
  <dc:description/>
  <cp:lastModifiedBy>Xolani Sithole</cp:lastModifiedBy>
  <cp:revision>2</cp:revision>
  <dcterms:created xsi:type="dcterms:W3CDTF">2023-09-20T06:21:00Z</dcterms:created>
  <dcterms:modified xsi:type="dcterms:W3CDTF">2023-09-20T06:21:00Z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00853-e5cc-480d-8b74-afcdbe2c705a_Enabled">
    <vt:lpwstr>true</vt:lpwstr>
  </property>
  <property fmtid="{D5CDD505-2E9C-101B-9397-08002B2CF9AE}" pid="3" name="MSIP_Label_41a00853-e5cc-480d-8b74-afcdbe2c705a_SetDate">
    <vt:lpwstr>2022-11-07T08:23:13Z</vt:lpwstr>
  </property>
  <property fmtid="{D5CDD505-2E9C-101B-9397-08002B2CF9AE}" pid="4" name="MSIP_Label_41a00853-e5cc-480d-8b74-afcdbe2c705a_Method">
    <vt:lpwstr>Standard</vt:lpwstr>
  </property>
  <property fmtid="{D5CDD505-2E9C-101B-9397-08002B2CF9AE}" pid="5" name="MSIP_Label_41a00853-e5cc-480d-8b74-afcdbe2c705a_Name">
    <vt:lpwstr>defa4170-0d19-0005-0004-bc88714345d2</vt:lpwstr>
  </property>
  <property fmtid="{D5CDD505-2E9C-101B-9397-08002B2CF9AE}" pid="6" name="MSIP_Label_41a00853-e5cc-480d-8b74-afcdbe2c705a_SiteId">
    <vt:lpwstr>4a3d1c5b-66b2-47c2-88d1-7eaa8d27e6cf</vt:lpwstr>
  </property>
  <property fmtid="{D5CDD505-2E9C-101B-9397-08002B2CF9AE}" pid="7" name="MSIP_Label_41a00853-e5cc-480d-8b74-afcdbe2c705a_ActionId">
    <vt:lpwstr>4d9f2759-269b-4d5e-9e31-f795943d04d4</vt:lpwstr>
  </property>
  <property fmtid="{D5CDD505-2E9C-101B-9397-08002B2CF9AE}" pid="8" name="MSIP_Label_41a00853-e5cc-480d-8b74-afcdbe2c705a_ContentBits">
    <vt:lpwstr>0</vt:lpwstr>
  </property>
  <property fmtid="{D5CDD505-2E9C-101B-9397-08002B2CF9AE}" pid="9" name="GrammarlyDocumentId">
    <vt:lpwstr>52f7ce0c0905228195be769ccfd8935cb520b737fa5687d9fa7a47e9df6807e0</vt:lpwstr>
  </property>
</Properties>
</file>